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9A745" w14:textId="1335DE50" w:rsidR="00A912CE" w:rsidRDefault="0E6549D1" w:rsidP="1E277EBE">
      <w:pPr>
        <w:spacing w:after="0" w:line="240" w:lineRule="auto"/>
        <w:jc w:val="center"/>
        <w:rPr>
          <w:rFonts w:ascii="Aptos" w:eastAsia="Aptos" w:hAnsi="Aptos" w:cs="Aptos"/>
          <w:sz w:val="20"/>
          <w:szCs w:val="20"/>
        </w:rPr>
      </w:pPr>
      <w:r w:rsidRPr="78A27D87">
        <w:rPr>
          <w:rFonts w:ascii="Aptos" w:eastAsia="Aptos" w:hAnsi="Aptos" w:cs="Aptos"/>
          <w:sz w:val="20"/>
          <w:szCs w:val="20"/>
        </w:rPr>
        <w:t>Roma, 28 maggio 2026                                                                                                                     Comunicato stampa</w:t>
      </w:r>
    </w:p>
    <w:p w14:paraId="3A1CE361" w14:textId="3465D94C" w:rsidR="00A912CE" w:rsidRDefault="4061786B" w:rsidP="1E277EBE">
      <w:pPr>
        <w:spacing w:after="0" w:line="240" w:lineRule="auto"/>
        <w:jc w:val="both"/>
        <w:rPr>
          <w:rFonts w:ascii="Aptos" w:eastAsia="Aptos" w:hAnsi="Aptos" w:cs="Aptos"/>
          <w:sz w:val="22"/>
          <w:szCs w:val="22"/>
        </w:rPr>
      </w:pPr>
      <w:r w:rsidRPr="1E277EBE">
        <w:rPr>
          <w:rFonts w:ascii="Aptos" w:eastAsia="Aptos" w:hAnsi="Aptos" w:cs="Aptos"/>
          <w:sz w:val="22"/>
          <w:szCs w:val="22"/>
        </w:rPr>
        <w:t xml:space="preserve"> </w:t>
      </w:r>
    </w:p>
    <w:p w14:paraId="7D21EE1E" w14:textId="4F0073A3" w:rsidR="00A912CE" w:rsidRPr="000A0C9A" w:rsidRDefault="2A30647F" w:rsidP="1E277EBE">
      <w:pPr>
        <w:spacing w:after="0" w:line="240" w:lineRule="auto"/>
        <w:jc w:val="center"/>
      </w:pPr>
      <w:r w:rsidRPr="000A0C9A">
        <w:rPr>
          <w:rFonts w:ascii="Aptos" w:eastAsia="Aptos" w:hAnsi="Aptos" w:cs="Aptos"/>
          <w:b/>
          <w:bCs/>
        </w:rPr>
        <w:t>APPALTI VERDI</w:t>
      </w:r>
      <w:r w:rsidR="7CB64CEF" w:rsidRPr="000A0C9A">
        <w:rPr>
          <w:rFonts w:ascii="Aptos" w:eastAsia="Aptos" w:hAnsi="Aptos" w:cs="Aptos"/>
          <w:b/>
          <w:bCs/>
        </w:rPr>
        <w:t xml:space="preserve">, </w:t>
      </w:r>
      <w:r w:rsidRPr="000A0C9A">
        <w:rPr>
          <w:rFonts w:ascii="Aptos" w:eastAsia="Aptos" w:hAnsi="Aptos" w:cs="Aptos"/>
          <w:b/>
          <w:bCs/>
        </w:rPr>
        <w:t>L’ITALIA PU</w:t>
      </w:r>
      <w:r w:rsidR="0B776EFB" w:rsidRPr="000A0C9A">
        <w:rPr>
          <w:rFonts w:ascii="Aptos" w:eastAsia="Aptos" w:hAnsi="Aptos" w:cs="Aptos"/>
          <w:b/>
          <w:bCs/>
        </w:rPr>
        <w:t>Ò</w:t>
      </w:r>
      <w:r w:rsidRPr="000A0C9A">
        <w:rPr>
          <w:rFonts w:ascii="Aptos" w:eastAsia="Aptos" w:hAnsi="Aptos" w:cs="Aptos"/>
          <w:b/>
          <w:bCs/>
        </w:rPr>
        <w:t xml:space="preserve"> FARE DI PI</w:t>
      </w:r>
      <w:r w:rsidR="02832F42" w:rsidRPr="000A0C9A">
        <w:rPr>
          <w:rFonts w:ascii="Aptos" w:eastAsia="Aptos" w:hAnsi="Aptos" w:cs="Aptos"/>
          <w:b/>
          <w:bCs/>
        </w:rPr>
        <w:t xml:space="preserve">Ù: </w:t>
      </w:r>
    </w:p>
    <w:p w14:paraId="6364D95A" w14:textId="700B3EA1" w:rsidR="00A912CE" w:rsidRPr="000A0C9A" w:rsidRDefault="7FE539C1" w:rsidP="1E277EBE">
      <w:pPr>
        <w:spacing w:after="0" w:line="240" w:lineRule="auto"/>
        <w:jc w:val="center"/>
        <w:rPr>
          <w:rFonts w:ascii="Aptos" w:eastAsia="Aptos" w:hAnsi="Aptos" w:cs="Aptos"/>
          <w:b/>
          <w:bCs/>
        </w:rPr>
      </w:pPr>
      <w:r w:rsidRPr="000A0C9A">
        <w:rPr>
          <w:rFonts w:ascii="Aptos" w:eastAsia="Aptos" w:hAnsi="Aptos" w:cs="Aptos"/>
          <w:b/>
          <w:bCs/>
        </w:rPr>
        <w:t xml:space="preserve">UN BANDO SU CINQUE NON APPLICA I CRITERI AMBIENTALI MINIMI </w:t>
      </w:r>
    </w:p>
    <w:p w14:paraId="6628411E" w14:textId="7984678F" w:rsidR="00A912CE" w:rsidRPr="000A0C9A" w:rsidRDefault="4061786B" w:rsidP="1E277EBE">
      <w:pPr>
        <w:spacing w:after="0" w:line="240" w:lineRule="auto"/>
        <w:jc w:val="both"/>
        <w:rPr>
          <w:rFonts w:ascii="Aptos" w:eastAsia="Aptos" w:hAnsi="Aptos" w:cs="Aptos"/>
        </w:rPr>
      </w:pPr>
      <w:r w:rsidRPr="000A0C9A">
        <w:rPr>
          <w:rFonts w:ascii="Aptos" w:eastAsia="Aptos" w:hAnsi="Aptos" w:cs="Aptos"/>
        </w:rPr>
        <w:t xml:space="preserve"> </w:t>
      </w:r>
    </w:p>
    <w:p w14:paraId="6357A9A3" w14:textId="39BCDBAD" w:rsidR="00A912CE" w:rsidRPr="000A0C9A" w:rsidRDefault="42028A5C" w:rsidP="03C9B521">
      <w:pPr>
        <w:spacing w:after="0" w:line="240" w:lineRule="auto"/>
        <w:jc w:val="center"/>
        <w:rPr>
          <w:rFonts w:ascii="Aptos" w:eastAsia="Aptos" w:hAnsi="Aptos" w:cs="Aptos"/>
          <w:i/>
          <w:iCs/>
        </w:rPr>
      </w:pPr>
      <w:r w:rsidRPr="000A0C9A">
        <w:rPr>
          <w:rFonts w:ascii="Aptos" w:eastAsia="Aptos" w:hAnsi="Aptos" w:cs="Aptos"/>
          <w:i/>
          <w:iCs/>
        </w:rPr>
        <w:t>Al Forum Compraverde a Roma presentato il rapporto di Legambiente e Fondazion</w:t>
      </w:r>
      <w:r w:rsidR="796CE930" w:rsidRPr="000A0C9A">
        <w:rPr>
          <w:rFonts w:ascii="Aptos" w:eastAsia="Aptos" w:hAnsi="Aptos" w:cs="Aptos"/>
          <w:i/>
          <w:iCs/>
        </w:rPr>
        <w:t xml:space="preserve">e </w:t>
      </w:r>
      <w:r w:rsidRPr="000A0C9A">
        <w:rPr>
          <w:rFonts w:ascii="Aptos" w:eastAsia="Aptos" w:hAnsi="Aptos" w:cs="Aptos"/>
          <w:i/>
          <w:iCs/>
        </w:rPr>
        <w:t>Ecosistemi sui numeri del Green Public Procurement</w:t>
      </w:r>
      <w:r w:rsidR="424245E5" w:rsidRPr="000A0C9A">
        <w:rPr>
          <w:rFonts w:ascii="Aptos" w:eastAsia="Aptos" w:hAnsi="Aptos" w:cs="Aptos"/>
          <w:i/>
          <w:iCs/>
        </w:rPr>
        <w:t xml:space="preserve"> in Italia</w:t>
      </w:r>
      <w:r w:rsidRPr="000A0C9A">
        <w:rPr>
          <w:rFonts w:ascii="Aptos" w:eastAsia="Aptos" w:hAnsi="Aptos" w:cs="Aptos"/>
          <w:i/>
          <w:iCs/>
        </w:rPr>
        <w:t>:</w:t>
      </w:r>
      <w:r w:rsidR="04ADF345" w:rsidRPr="000A0C9A">
        <w:rPr>
          <w:rFonts w:ascii="Aptos" w:eastAsia="Aptos" w:hAnsi="Aptos" w:cs="Aptos"/>
          <w:i/>
          <w:iCs/>
        </w:rPr>
        <w:t xml:space="preserve"> </w:t>
      </w:r>
      <w:r w:rsidR="3051FCF2" w:rsidRPr="000A0C9A">
        <w:rPr>
          <w:rFonts w:ascii="Aptos" w:eastAsia="Aptos" w:hAnsi="Aptos" w:cs="Aptos"/>
          <w:i/>
          <w:iCs/>
        </w:rPr>
        <w:t xml:space="preserve">indice di performance al 65%, </w:t>
      </w:r>
      <w:r w:rsidR="42F3506E" w:rsidRPr="000A0C9A">
        <w:rPr>
          <w:rFonts w:ascii="Aptos" w:eastAsia="Aptos" w:hAnsi="Aptos" w:cs="Aptos"/>
          <w:i/>
          <w:iCs/>
        </w:rPr>
        <w:t>ma il</w:t>
      </w:r>
      <w:r w:rsidR="6FEFC521" w:rsidRPr="000A0C9A">
        <w:rPr>
          <w:rFonts w:ascii="Aptos" w:eastAsia="Aptos" w:hAnsi="Aptos" w:cs="Aptos"/>
          <w:i/>
          <w:iCs/>
        </w:rPr>
        <w:t xml:space="preserve"> carente</w:t>
      </w:r>
      <w:r w:rsidR="42F3506E" w:rsidRPr="000A0C9A">
        <w:rPr>
          <w:rFonts w:ascii="Aptos" w:eastAsia="Aptos" w:hAnsi="Aptos" w:cs="Aptos"/>
          <w:i/>
          <w:iCs/>
        </w:rPr>
        <w:t xml:space="preserve"> monitoraggio</w:t>
      </w:r>
      <w:r w:rsidR="3051FCF2" w:rsidRPr="000A0C9A">
        <w:rPr>
          <w:rFonts w:ascii="Aptos" w:eastAsia="Aptos" w:hAnsi="Aptos" w:cs="Aptos"/>
          <w:i/>
          <w:iCs/>
        </w:rPr>
        <w:t xml:space="preserve"> </w:t>
      </w:r>
      <w:r w:rsidR="3E051CC6" w:rsidRPr="000A0C9A">
        <w:rPr>
          <w:rFonts w:ascii="Aptos" w:eastAsia="Aptos" w:hAnsi="Aptos" w:cs="Aptos"/>
          <w:i/>
          <w:iCs/>
        </w:rPr>
        <w:t>su</w:t>
      </w:r>
      <w:r w:rsidR="3051FCF2" w:rsidRPr="000A0C9A">
        <w:rPr>
          <w:rFonts w:ascii="Aptos" w:eastAsia="Aptos" w:hAnsi="Aptos" w:cs="Aptos"/>
          <w:i/>
          <w:iCs/>
        </w:rPr>
        <w:t xml:space="preserve">gli acquisti </w:t>
      </w:r>
      <w:r w:rsidR="7D98BAB9" w:rsidRPr="000A0C9A">
        <w:rPr>
          <w:rFonts w:ascii="Aptos" w:eastAsia="Aptos" w:hAnsi="Aptos" w:cs="Aptos"/>
          <w:i/>
          <w:iCs/>
        </w:rPr>
        <w:t xml:space="preserve">verdi </w:t>
      </w:r>
      <w:r w:rsidR="3051FCF2" w:rsidRPr="000A0C9A">
        <w:rPr>
          <w:rFonts w:ascii="Aptos" w:eastAsia="Aptos" w:hAnsi="Aptos" w:cs="Aptos"/>
          <w:i/>
          <w:iCs/>
        </w:rPr>
        <w:t xml:space="preserve">e </w:t>
      </w:r>
      <w:r w:rsidR="3F5E059A" w:rsidRPr="000A0C9A">
        <w:rPr>
          <w:rFonts w:ascii="Aptos" w:eastAsia="Aptos" w:hAnsi="Aptos" w:cs="Aptos"/>
          <w:i/>
          <w:iCs/>
        </w:rPr>
        <w:t xml:space="preserve">la </w:t>
      </w:r>
      <w:r w:rsidR="5EBBE711" w:rsidRPr="000A0C9A">
        <w:rPr>
          <w:rFonts w:ascii="Aptos" w:eastAsia="Aptos" w:hAnsi="Aptos" w:cs="Aptos"/>
          <w:i/>
          <w:iCs/>
        </w:rPr>
        <w:t xml:space="preserve">formazione insufficiente </w:t>
      </w:r>
      <w:r w:rsidR="1B10BEF3" w:rsidRPr="000A0C9A">
        <w:rPr>
          <w:rFonts w:ascii="Aptos" w:eastAsia="Aptos" w:hAnsi="Aptos" w:cs="Aptos"/>
          <w:i/>
          <w:iCs/>
        </w:rPr>
        <w:t xml:space="preserve">del personale </w:t>
      </w:r>
      <w:r w:rsidR="06A515DE" w:rsidRPr="000A0C9A">
        <w:rPr>
          <w:rFonts w:ascii="Aptos" w:eastAsia="Aptos" w:hAnsi="Aptos" w:cs="Aptos"/>
          <w:i/>
          <w:iCs/>
        </w:rPr>
        <w:t>frenano</w:t>
      </w:r>
      <w:r w:rsidR="1B10BEF3" w:rsidRPr="000A0C9A">
        <w:rPr>
          <w:rFonts w:ascii="Aptos" w:eastAsia="Aptos" w:hAnsi="Aptos" w:cs="Aptos"/>
          <w:i/>
          <w:iCs/>
        </w:rPr>
        <w:t xml:space="preserve"> la svolta</w:t>
      </w:r>
    </w:p>
    <w:p w14:paraId="36B63B36" w14:textId="055016E8" w:rsidR="00A912CE" w:rsidRDefault="00A912CE" w:rsidP="03C9B521">
      <w:pPr>
        <w:spacing w:after="0" w:line="240" w:lineRule="auto"/>
        <w:jc w:val="center"/>
        <w:rPr>
          <w:rFonts w:ascii="Aptos" w:eastAsia="Aptos" w:hAnsi="Aptos" w:cs="Aptos"/>
          <w:sz w:val="22"/>
          <w:szCs w:val="22"/>
          <w:highlight w:val="red"/>
        </w:rPr>
      </w:pPr>
    </w:p>
    <w:p w14:paraId="1CE9E977" w14:textId="4A92C172" w:rsidR="00A912CE" w:rsidRPr="000A0C9A" w:rsidRDefault="42028A5C" w:rsidP="03C9B521">
      <w:pPr>
        <w:spacing w:after="0" w:line="240" w:lineRule="auto"/>
        <w:jc w:val="center"/>
        <w:rPr>
          <w:rFonts w:ascii="Aptos" w:eastAsia="Aptos" w:hAnsi="Aptos" w:cs="Aptos"/>
          <w:sz w:val="22"/>
          <w:szCs w:val="22"/>
        </w:rPr>
      </w:pPr>
      <w:hyperlink r:id="rId4" w:history="1">
        <w:r w:rsidRPr="000A0C9A">
          <w:rPr>
            <w:rStyle w:val="Collegamentoipertestuale"/>
            <w:rFonts w:ascii="Aptos" w:eastAsia="Aptos" w:hAnsi="Aptos" w:cs="Aptos"/>
            <w:sz w:val="22"/>
            <w:szCs w:val="22"/>
          </w:rPr>
          <w:t>IX Rapporto Osservatorio Appalti Verdi</w:t>
        </w:r>
      </w:hyperlink>
    </w:p>
    <w:p w14:paraId="38BACE8D" w14:textId="158E1C06" w:rsidR="00A912CE" w:rsidRDefault="4061786B" w:rsidP="1E277EBE">
      <w:pPr>
        <w:spacing w:after="0" w:line="240" w:lineRule="auto"/>
        <w:jc w:val="both"/>
        <w:rPr>
          <w:rFonts w:ascii="Aptos" w:eastAsia="Aptos" w:hAnsi="Aptos" w:cs="Aptos"/>
          <w:sz w:val="22"/>
          <w:szCs w:val="22"/>
        </w:rPr>
      </w:pPr>
      <w:r w:rsidRPr="1E277EBE">
        <w:rPr>
          <w:rFonts w:ascii="Aptos" w:eastAsia="Aptos" w:hAnsi="Aptos" w:cs="Aptos"/>
          <w:sz w:val="22"/>
          <w:szCs w:val="22"/>
        </w:rPr>
        <w:t xml:space="preserve"> </w:t>
      </w:r>
    </w:p>
    <w:p w14:paraId="61936258" w14:textId="75DAE1E7" w:rsidR="00A912CE" w:rsidRDefault="6D45DB71" w:rsidP="1E277EBE">
      <w:pPr>
        <w:spacing w:after="0" w:line="240" w:lineRule="auto"/>
        <w:jc w:val="both"/>
      </w:pPr>
      <w:r w:rsidRPr="03C9B521">
        <w:rPr>
          <w:rFonts w:ascii="Aptos" w:eastAsia="Aptos" w:hAnsi="Aptos" w:cs="Aptos"/>
          <w:sz w:val="22"/>
          <w:szCs w:val="22"/>
        </w:rPr>
        <w:t xml:space="preserve">In Italia, </w:t>
      </w:r>
      <w:r w:rsidRPr="03C9B521">
        <w:rPr>
          <w:rFonts w:ascii="Aptos" w:eastAsia="Aptos" w:hAnsi="Aptos" w:cs="Aptos"/>
          <w:b/>
          <w:bCs/>
          <w:sz w:val="22"/>
          <w:szCs w:val="22"/>
        </w:rPr>
        <w:t>un bando di gara pubblico su cinque non applica i criteri ambientali minimi (CAM),</w:t>
      </w:r>
      <w:r w:rsidRPr="03C9B521">
        <w:rPr>
          <w:rFonts w:ascii="Aptos" w:eastAsia="Aptos" w:hAnsi="Aptos" w:cs="Aptos"/>
          <w:sz w:val="22"/>
          <w:szCs w:val="22"/>
        </w:rPr>
        <w:t xml:space="preserve"> nonostante dal 2016 </w:t>
      </w:r>
      <w:r w:rsidR="7770754E" w:rsidRPr="03C9B521">
        <w:rPr>
          <w:rFonts w:ascii="Aptos" w:eastAsia="Aptos" w:hAnsi="Aptos" w:cs="Aptos"/>
          <w:sz w:val="22"/>
          <w:szCs w:val="22"/>
        </w:rPr>
        <w:t>ci si</w:t>
      </w:r>
      <w:r w:rsidR="4E8993AB" w:rsidRPr="03C9B521">
        <w:rPr>
          <w:rFonts w:ascii="Aptos" w:eastAsia="Aptos" w:hAnsi="Aptos" w:cs="Aptos"/>
          <w:sz w:val="22"/>
          <w:szCs w:val="22"/>
        </w:rPr>
        <w:t>a</w:t>
      </w:r>
      <w:r w:rsidRPr="03C9B521">
        <w:rPr>
          <w:rFonts w:ascii="Aptos" w:eastAsia="Aptos" w:hAnsi="Aptos" w:cs="Aptos"/>
          <w:sz w:val="22"/>
          <w:szCs w:val="22"/>
        </w:rPr>
        <w:t xml:space="preserve"> l’obbligo di in</w:t>
      </w:r>
      <w:r w:rsidR="32064D17" w:rsidRPr="03C9B521">
        <w:rPr>
          <w:rFonts w:ascii="Aptos" w:eastAsia="Aptos" w:hAnsi="Aptos" w:cs="Aptos"/>
          <w:sz w:val="22"/>
          <w:szCs w:val="22"/>
        </w:rPr>
        <w:t>clude</w:t>
      </w:r>
      <w:r w:rsidRPr="03C9B521">
        <w:rPr>
          <w:rFonts w:ascii="Aptos" w:eastAsia="Aptos" w:hAnsi="Aptos" w:cs="Aptos"/>
          <w:sz w:val="22"/>
          <w:szCs w:val="22"/>
        </w:rPr>
        <w:t>rli ne</w:t>
      </w:r>
      <w:r w:rsidR="6D0B7CA7" w:rsidRPr="03C9B521">
        <w:rPr>
          <w:rFonts w:ascii="Aptos" w:eastAsia="Aptos" w:hAnsi="Aptos" w:cs="Aptos"/>
          <w:sz w:val="22"/>
          <w:szCs w:val="22"/>
        </w:rPr>
        <w:t>gli appalti</w:t>
      </w:r>
      <w:r w:rsidRPr="03C9B521">
        <w:rPr>
          <w:rFonts w:ascii="Aptos" w:eastAsia="Aptos" w:hAnsi="Aptos" w:cs="Aptos"/>
          <w:sz w:val="22"/>
          <w:szCs w:val="22"/>
        </w:rPr>
        <w:t xml:space="preserve"> della pubblica amministrazione. </w:t>
      </w:r>
    </w:p>
    <w:p w14:paraId="06385D62" w14:textId="37F4069F" w:rsidR="00A912CE" w:rsidRDefault="6D45DB71" w:rsidP="1E277EBE">
      <w:pPr>
        <w:spacing w:after="0" w:line="240" w:lineRule="auto"/>
        <w:jc w:val="both"/>
        <w:rPr>
          <w:rFonts w:ascii="Aptos" w:eastAsia="Aptos" w:hAnsi="Aptos" w:cs="Aptos"/>
          <w:sz w:val="22"/>
          <w:szCs w:val="22"/>
        </w:rPr>
      </w:pPr>
      <w:r w:rsidRPr="03C9B521">
        <w:rPr>
          <w:rFonts w:ascii="Aptos" w:eastAsia="Aptos" w:hAnsi="Aptos" w:cs="Aptos"/>
          <w:sz w:val="22"/>
          <w:szCs w:val="22"/>
        </w:rPr>
        <w:t xml:space="preserve">È quanto emerge dal </w:t>
      </w:r>
      <w:r w:rsidRPr="03C9B521">
        <w:rPr>
          <w:rFonts w:ascii="Aptos" w:eastAsia="Aptos" w:hAnsi="Aptos" w:cs="Aptos"/>
          <w:b/>
          <w:bCs/>
          <w:sz w:val="22"/>
          <w:szCs w:val="22"/>
        </w:rPr>
        <w:t>IX Rapporto dell’Osservatorio Appalti Verdi di Legambiente e Fondazione Ecosistemi</w:t>
      </w:r>
      <w:r w:rsidRPr="03C9B521">
        <w:rPr>
          <w:rFonts w:ascii="Aptos" w:eastAsia="Aptos" w:hAnsi="Aptos" w:cs="Aptos"/>
          <w:sz w:val="22"/>
          <w:szCs w:val="22"/>
        </w:rPr>
        <w:t xml:space="preserve">, presentato oggi durante la seconda e ultima giornata del </w:t>
      </w:r>
      <w:r w:rsidRPr="03C9B521">
        <w:rPr>
          <w:rFonts w:ascii="Aptos" w:eastAsia="Aptos" w:hAnsi="Aptos" w:cs="Aptos"/>
          <w:b/>
          <w:bCs/>
          <w:sz w:val="22"/>
          <w:szCs w:val="22"/>
        </w:rPr>
        <w:t>XX Forum Compraverde Buygreen</w:t>
      </w:r>
      <w:r w:rsidRPr="03C9B521">
        <w:rPr>
          <w:rFonts w:ascii="Aptos" w:eastAsia="Aptos" w:hAnsi="Aptos" w:cs="Aptos"/>
          <w:sz w:val="22"/>
          <w:szCs w:val="22"/>
        </w:rPr>
        <w:t>, in corso a Palazzo WEGIL di Roma.</w:t>
      </w:r>
    </w:p>
    <w:p w14:paraId="759BA20E" w14:textId="3FD1B2CB" w:rsidR="00A912CE" w:rsidRDefault="4061786B" w:rsidP="1E277EBE">
      <w:pPr>
        <w:spacing w:after="0" w:line="240" w:lineRule="auto"/>
        <w:jc w:val="both"/>
        <w:rPr>
          <w:rFonts w:ascii="Aptos" w:eastAsia="Aptos" w:hAnsi="Aptos" w:cs="Aptos"/>
          <w:sz w:val="22"/>
          <w:szCs w:val="22"/>
        </w:rPr>
      </w:pPr>
      <w:r w:rsidRPr="1E277EBE">
        <w:rPr>
          <w:rFonts w:ascii="Aptos" w:eastAsia="Aptos" w:hAnsi="Aptos" w:cs="Aptos"/>
          <w:sz w:val="22"/>
          <w:szCs w:val="22"/>
        </w:rPr>
        <w:t xml:space="preserve"> </w:t>
      </w:r>
    </w:p>
    <w:p w14:paraId="77599F52" w14:textId="063D8DD3" w:rsidR="00A912CE" w:rsidRDefault="42028A5C" w:rsidP="1E277EBE">
      <w:pPr>
        <w:spacing w:after="0" w:line="240" w:lineRule="auto"/>
        <w:jc w:val="both"/>
        <w:rPr>
          <w:rFonts w:ascii="Aptos" w:eastAsia="Aptos" w:hAnsi="Aptos" w:cs="Aptos"/>
          <w:sz w:val="22"/>
          <w:szCs w:val="22"/>
        </w:rPr>
      </w:pPr>
      <w:r w:rsidRPr="03C9B521">
        <w:rPr>
          <w:rFonts w:ascii="Aptos" w:eastAsia="Aptos" w:hAnsi="Aptos" w:cs="Aptos"/>
          <w:b/>
          <w:bCs/>
          <w:sz w:val="22"/>
          <w:szCs w:val="22"/>
        </w:rPr>
        <w:t xml:space="preserve">L’analisi ha preso in esame 847 bandi </w:t>
      </w:r>
      <w:r w:rsidR="7828CC4F" w:rsidRPr="03C9B521">
        <w:rPr>
          <w:rFonts w:ascii="Aptos" w:eastAsia="Aptos" w:hAnsi="Aptos" w:cs="Aptos"/>
          <w:b/>
          <w:bCs/>
          <w:sz w:val="22"/>
          <w:szCs w:val="22"/>
        </w:rPr>
        <w:t>emess</w:t>
      </w:r>
      <w:r w:rsidRPr="03C9B521">
        <w:rPr>
          <w:rFonts w:ascii="Aptos" w:eastAsia="Aptos" w:hAnsi="Aptos" w:cs="Aptos"/>
          <w:b/>
          <w:bCs/>
          <w:sz w:val="22"/>
          <w:szCs w:val="22"/>
        </w:rPr>
        <w:t>i nel 2025 da 122 stazioni appaltanti pubbliche</w:t>
      </w:r>
      <w:r w:rsidRPr="03C9B521">
        <w:rPr>
          <w:rFonts w:ascii="Aptos" w:eastAsia="Aptos" w:hAnsi="Aptos" w:cs="Aptos"/>
          <w:sz w:val="22"/>
          <w:szCs w:val="22"/>
        </w:rPr>
        <w:t xml:space="preserve">, </w:t>
      </w:r>
      <w:r w:rsidR="35C9F854" w:rsidRPr="03C9B521">
        <w:rPr>
          <w:rFonts w:ascii="Aptos" w:eastAsia="Aptos" w:hAnsi="Aptos" w:cs="Aptos"/>
          <w:sz w:val="22"/>
          <w:szCs w:val="22"/>
        </w:rPr>
        <w:t>tra</w:t>
      </w:r>
      <w:r w:rsidRPr="03C9B521">
        <w:rPr>
          <w:rFonts w:ascii="Aptos" w:eastAsia="Aptos" w:hAnsi="Aptos" w:cs="Aptos"/>
          <w:sz w:val="22"/>
          <w:szCs w:val="22"/>
        </w:rPr>
        <w:t xml:space="preserve"> cui 13 centrali di committenza regionali, 83 enti gestori di aree protette e 26 ASL, </w:t>
      </w:r>
      <w:r w:rsidRPr="03C9B521">
        <w:rPr>
          <w:rFonts w:ascii="Aptos" w:eastAsia="Aptos" w:hAnsi="Aptos" w:cs="Aptos"/>
          <w:b/>
          <w:bCs/>
          <w:sz w:val="22"/>
          <w:szCs w:val="22"/>
        </w:rPr>
        <w:t>rilevando come</w:t>
      </w:r>
      <w:r w:rsidRPr="03C9B521">
        <w:rPr>
          <w:rFonts w:ascii="Aptos" w:eastAsia="Aptos" w:hAnsi="Aptos" w:cs="Aptos"/>
          <w:sz w:val="22"/>
          <w:szCs w:val="22"/>
        </w:rPr>
        <w:t xml:space="preserve"> </w:t>
      </w:r>
      <w:r w:rsidRPr="03C9B521">
        <w:rPr>
          <w:rFonts w:ascii="Aptos" w:eastAsia="Aptos" w:hAnsi="Aptos" w:cs="Aptos"/>
          <w:b/>
          <w:bCs/>
          <w:sz w:val="22"/>
          <w:szCs w:val="22"/>
        </w:rPr>
        <w:t>in 191 gare</w:t>
      </w:r>
      <w:r w:rsidRPr="03C9B521">
        <w:rPr>
          <w:rFonts w:ascii="Aptos" w:eastAsia="Aptos" w:hAnsi="Aptos" w:cs="Aptos"/>
          <w:sz w:val="22"/>
          <w:szCs w:val="22"/>
        </w:rPr>
        <w:t xml:space="preserve">, pari al 22,6% del totale, </w:t>
      </w:r>
      <w:r w:rsidRPr="03C9B521">
        <w:rPr>
          <w:rFonts w:ascii="Aptos" w:eastAsia="Aptos" w:hAnsi="Aptos" w:cs="Aptos"/>
          <w:b/>
          <w:bCs/>
          <w:sz w:val="22"/>
          <w:szCs w:val="22"/>
        </w:rPr>
        <w:t>i CAM non siano stati applicati</w:t>
      </w:r>
      <w:r w:rsidRPr="03C9B521">
        <w:rPr>
          <w:rFonts w:ascii="Aptos" w:eastAsia="Aptos" w:hAnsi="Aptos" w:cs="Aptos"/>
          <w:sz w:val="22"/>
          <w:szCs w:val="22"/>
        </w:rPr>
        <w:t>.</w:t>
      </w:r>
    </w:p>
    <w:p w14:paraId="699DC2AD" w14:textId="783FE2C6" w:rsidR="00A912CE" w:rsidRDefault="42028A5C" w:rsidP="1E277EBE">
      <w:pPr>
        <w:spacing w:after="0" w:line="240" w:lineRule="auto"/>
        <w:jc w:val="both"/>
        <w:rPr>
          <w:rFonts w:ascii="Aptos" w:eastAsia="Aptos" w:hAnsi="Aptos" w:cs="Aptos"/>
          <w:sz w:val="22"/>
          <w:szCs w:val="22"/>
        </w:rPr>
      </w:pPr>
      <w:r w:rsidRPr="03C9B521">
        <w:rPr>
          <w:rFonts w:ascii="Aptos" w:eastAsia="Aptos" w:hAnsi="Aptos" w:cs="Aptos"/>
          <w:b/>
          <w:bCs/>
          <w:sz w:val="22"/>
          <w:szCs w:val="22"/>
        </w:rPr>
        <w:t>Tra i criteri ambientali minimi maggiormente disattesi emergono in particolare il CAM relativo alle calzature da lavoro e accessori in pelle</w:t>
      </w:r>
      <w:r w:rsidRPr="03C9B521">
        <w:rPr>
          <w:rFonts w:ascii="Aptos" w:eastAsia="Aptos" w:hAnsi="Aptos" w:cs="Aptos"/>
          <w:sz w:val="22"/>
          <w:szCs w:val="22"/>
        </w:rPr>
        <w:t xml:space="preserve"> non applicato in 24 delle 51 gare in cui avrebbe dovuto essere previsto, con un tasso di mancata applicazione del 47%. Un dato che per l’Osservatorio è significativo, considerando che il </w:t>
      </w:r>
      <w:r w:rsidR="15FE6960" w:rsidRPr="03C9B521">
        <w:rPr>
          <w:rFonts w:ascii="Aptos" w:eastAsia="Aptos" w:hAnsi="Aptos" w:cs="Aptos"/>
          <w:sz w:val="22"/>
          <w:szCs w:val="22"/>
        </w:rPr>
        <w:t>CAM</w:t>
      </w:r>
      <w:r w:rsidRPr="03C9B521">
        <w:rPr>
          <w:rFonts w:ascii="Aptos" w:eastAsia="Aptos" w:hAnsi="Aptos" w:cs="Aptos"/>
          <w:sz w:val="22"/>
          <w:szCs w:val="22"/>
        </w:rPr>
        <w:t xml:space="preserve"> è in vigore dal 2018 e dovrebbe quindi rappresentare uno standard consolidato nelle procedure di gara pubbliche. Segue </w:t>
      </w:r>
      <w:r w:rsidRPr="03C9B521">
        <w:rPr>
          <w:rFonts w:ascii="Aptos" w:eastAsia="Aptos" w:hAnsi="Aptos" w:cs="Aptos"/>
          <w:b/>
          <w:bCs/>
          <w:sz w:val="22"/>
          <w:szCs w:val="22"/>
        </w:rPr>
        <w:t>il CAM dedicato agli eventi culturali</w:t>
      </w:r>
      <w:r w:rsidRPr="03C9B521">
        <w:rPr>
          <w:rFonts w:ascii="Aptos" w:eastAsia="Aptos" w:hAnsi="Aptos" w:cs="Aptos"/>
          <w:sz w:val="22"/>
          <w:szCs w:val="22"/>
        </w:rPr>
        <w:t xml:space="preserve">, assente in 22 gare su 55, pari a un tasso di mancata applicazione del 40%. In questo caso, il ritardo secondo l’OAV è legato almeno in parte alla più recente introduzione del criterio, che ne rende ancora incompleta la diffusione tra le stazioni appaltanti. </w:t>
      </w:r>
    </w:p>
    <w:p w14:paraId="57478D76" w14:textId="2F6D68A7" w:rsidR="00A912CE" w:rsidRDefault="42028A5C" w:rsidP="1E277EBE">
      <w:pPr>
        <w:spacing w:after="0" w:line="240" w:lineRule="auto"/>
        <w:jc w:val="both"/>
        <w:rPr>
          <w:rFonts w:ascii="Aptos" w:eastAsia="Aptos" w:hAnsi="Aptos" w:cs="Aptos"/>
          <w:sz w:val="22"/>
          <w:szCs w:val="22"/>
        </w:rPr>
      </w:pPr>
      <w:r w:rsidRPr="03C9B521">
        <w:rPr>
          <w:rFonts w:ascii="Aptos" w:eastAsia="Aptos" w:hAnsi="Aptos" w:cs="Aptos"/>
          <w:sz w:val="22"/>
          <w:szCs w:val="22"/>
        </w:rPr>
        <w:t xml:space="preserve">L’analisi dei due casi è importante perché evidenzia soprattutto </w:t>
      </w:r>
      <w:r w:rsidR="72921181" w:rsidRPr="03C9B521">
        <w:rPr>
          <w:rFonts w:ascii="Aptos" w:eastAsia="Aptos" w:hAnsi="Aptos" w:cs="Aptos"/>
          <w:sz w:val="22"/>
          <w:szCs w:val="22"/>
        </w:rPr>
        <w:t>alcune</w:t>
      </w:r>
      <w:r w:rsidRPr="03C9B521">
        <w:rPr>
          <w:rFonts w:ascii="Aptos" w:eastAsia="Aptos" w:hAnsi="Aptos" w:cs="Aptos"/>
          <w:sz w:val="22"/>
          <w:szCs w:val="22"/>
        </w:rPr>
        <w:t xml:space="preserve"> cause che continuano a frenare l’attuazione dei CAM e, più in generale, aiuta a comprendere </w:t>
      </w:r>
      <w:r w:rsidR="21EDCA6F" w:rsidRPr="03C9B521">
        <w:rPr>
          <w:rFonts w:ascii="Aptos" w:eastAsia="Aptos" w:hAnsi="Aptos" w:cs="Aptos"/>
          <w:sz w:val="22"/>
          <w:szCs w:val="22"/>
        </w:rPr>
        <w:t>diverse</w:t>
      </w:r>
      <w:r w:rsidRPr="03C9B521">
        <w:rPr>
          <w:rFonts w:ascii="Aptos" w:eastAsia="Aptos" w:hAnsi="Aptos" w:cs="Aptos"/>
          <w:sz w:val="22"/>
          <w:szCs w:val="22"/>
        </w:rPr>
        <w:t xml:space="preserve"> criticità ancora aperte per l</w:t>
      </w:r>
      <w:r w:rsidR="2910A084" w:rsidRPr="03C9B521">
        <w:rPr>
          <w:rFonts w:ascii="Aptos" w:eastAsia="Aptos" w:hAnsi="Aptos" w:cs="Aptos"/>
          <w:sz w:val="22"/>
          <w:szCs w:val="22"/>
        </w:rPr>
        <w:t xml:space="preserve">a piena </w:t>
      </w:r>
      <w:r w:rsidRPr="03C9B521">
        <w:rPr>
          <w:rFonts w:ascii="Aptos" w:eastAsia="Aptos" w:hAnsi="Aptos" w:cs="Aptos"/>
          <w:sz w:val="22"/>
          <w:szCs w:val="22"/>
        </w:rPr>
        <w:t xml:space="preserve">attuazione del Green Public Procurement (GPP): da un lato, la difficoltà di </w:t>
      </w:r>
      <w:r w:rsidR="5B363036" w:rsidRPr="03C9B521">
        <w:rPr>
          <w:rFonts w:ascii="Aptos" w:eastAsia="Aptos" w:hAnsi="Aptos" w:cs="Aptos"/>
          <w:sz w:val="22"/>
          <w:szCs w:val="22"/>
        </w:rPr>
        <w:t>rafforzare</w:t>
      </w:r>
      <w:r w:rsidRPr="03C9B521">
        <w:rPr>
          <w:rFonts w:ascii="Aptos" w:eastAsia="Aptos" w:hAnsi="Aptos" w:cs="Aptos"/>
          <w:sz w:val="22"/>
          <w:szCs w:val="22"/>
        </w:rPr>
        <w:t xml:space="preserve"> l’applicazione di </w:t>
      </w:r>
      <w:r w:rsidR="42387BB1" w:rsidRPr="03C9B521">
        <w:rPr>
          <w:rFonts w:ascii="Aptos" w:eastAsia="Aptos" w:hAnsi="Aptos" w:cs="Aptos"/>
          <w:sz w:val="22"/>
          <w:szCs w:val="22"/>
        </w:rPr>
        <w:t>CAM</w:t>
      </w:r>
      <w:r w:rsidRPr="03C9B521">
        <w:rPr>
          <w:rFonts w:ascii="Aptos" w:eastAsia="Aptos" w:hAnsi="Aptos" w:cs="Aptos"/>
          <w:sz w:val="22"/>
          <w:szCs w:val="22"/>
        </w:rPr>
        <w:t xml:space="preserve"> ormai </w:t>
      </w:r>
      <w:r w:rsidR="58627B0C" w:rsidRPr="03C9B521">
        <w:rPr>
          <w:rFonts w:ascii="Aptos" w:eastAsia="Aptos" w:hAnsi="Aptos" w:cs="Aptos"/>
          <w:sz w:val="22"/>
          <w:szCs w:val="22"/>
        </w:rPr>
        <w:t>consolidati</w:t>
      </w:r>
      <w:r w:rsidRPr="03C9B521">
        <w:rPr>
          <w:rFonts w:ascii="Aptos" w:eastAsia="Aptos" w:hAnsi="Aptos" w:cs="Aptos"/>
          <w:sz w:val="22"/>
          <w:szCs w:val="22"/>
        </w:rPr>
        <w:t>, dall’altro, gli ostacoli burocratici che riguardano</w:t>
      </w:r>
      <w:r w:rsidR="1D2F1C50" w:rsidRPr="03C9B521">
        <w:rPr>
          <w:rFonts w:ascii="Aptos" w:eastAsia="Aptos" w:hAnsi="Aptos" w:cs="Aptos"/>
          <w:sz w:val="22"/>
          <w:szCs w:val="22"/>
        </w:rPr>
        <w:t xml:space="preserve"> criteri</w:t>
      </w:r>
      <w:r w:rsidRPr="03C9B521">
        <w:rPr>
          <w:rFonts w:ascii="Aptos" w:eastAsia="Aptos" w:hAnsi="Aptos" w:cs="Aptos"/>
          <w:sz w:val="22"/>
          <w:szCs w:val="22"/>
        </w:rPr>
        <w:t xml:space="preserve"> più recenti o riferiti a categorie </w:t>
      </w:r>
      <w:r w:rsidR="32462DDC" w:rsidRPr="03C9B521">
        <w:rPr>
          <w:rFonts w:ascii="Aptos" w:eastAsia="Aptos" w:hAnsi="Aptos" w:cs="Aptos"/>
          <w:sz w:val="22"/>
          <w:szCs w:val="22"/>
        </w:rPr>
        <w:t xml:space="preserve">merceologiche </w:t>
      </w:r>
      <w:r w:rsidRPr="03C9B521">
        <w:rPr>
          <w:rFonts w:ascii="Aptos" w:eastAsia="Aptos" w:hAnsi="Aptos" w:cs="Aptos"/>
          <w:sz w:val="22"/>
          <w:szCs w:val="22"/>
        </w:rPr>
        <w:t xml:space="preserve">per </w:t>
      </w:r>
      <w:r w:rsidR="58E8D433" w:rsidRPr="03C9B521">
        <w:rPr>
          <w:rFonts w:ascii="Aptos" w:eastAsia="Aptos" w:hAnsi="Aptos" w:cs="Aptos"/>
          <w:sz w:val="22"/>
          <w:szCs w:val="22"/>
        </w:rPr>
        <w:t>cu</w:t>
      </w:r>
      <w:r w:rsidRPr="03C9B521">
        <w:rPr>
          <w:rFonts w:ascii="Aptos" w:eastAsia="Aptos" w:hAnsi="Aptos" w:cs="Aptos"/>
          <w:sz w:val="22"/>
          <w:szCs w:val="22"/>
        </w:rPr>
        <w:t xml:space="preserve">i è spesso necessaria l’adozione preventiva di regolamenti interni da parte delle amministrazioni pubbliche. Un passaggio aggiuntivo che </w:t>
      </w:r>
      <w:r w:rsidR="5EF24A18" w:rsidRPr="03C9B521">
        <w:rPr>
          <w:rFonts w:ascii="Aptos" w:eastAsia="Aptos" w:hAnsi="Aptos" w:cs="Aptos"/>
          <w:sz w:val="22"/>
          <w:szCs w:val="22"/>
        </w:rPr>
        <w:t xml:space="preserve">spesso </w:t>
      </w:r>
      <w:r w:rsidRPr="03C9B521">
        <w:rPr>
          <w:rFonts w:ascii="Aptos" w:eastAsia="Aptos" w:hAnsi="Aptos" w:cs="Aptos"/>
          <w:sz w:val="22"/>
          <w:szCs w:val="22"/>
        </w:rPr>
        <w:t>finisce per rallentare, se non in alcuni casi impedire, l’inserimento dei criteri ambientali nei bandi di gara.</w:t>
      </w:r>
    </w:p>
    <w:p w14:paraId="73944553" w14:textId="77A518AC" w:rsidR="00A912CE" w:rsidRDefault="4061786B" w:rsidP="1E277EBE">
      <w:pPr>
        <w:spacing w:after="0" w:line="240" w:lineRule="auto"/>
        <w:jc w:val="both"/>
        <w:rPr>
          <w:rFonts w:ascii="Aptos" w:eastAsia="Aptos" w:hAnsi="Aptos" w:cs="Aptos"/>
          <w:sz w:val="22"/>
          <w:szCs w:val="22"/>
        </w:rPr>
      </w:pPr>
      <w:r w:rsidRPr="1E277EBE">
        <w:rPr>
          <w:rFonts w:ascii="Aptos" w:eastAsia="Aptos" w:hAnsi="Aptos" w:cs="Aptos"/>
          <w:sz w:val="22"/>
          <w:szCs w:val="22"/>
        </w:rPr>
        <w:t xml:space="preserve"> </w:t>
      </w:r>
    </w:p>
    <w:p w14:paraId="3027537D" w14:textId="174A8A70" w:rsidR="00A912CE" w:rsidRDefault="42028A5C" w:rsidP="1E277EBE">
      <w:pPr>
        <w:spacing w:after="0" w:line="240" w:lineRule="auto"/>
        <w:jc w:val="both"/>
        <w:rPr>
          <w:rFonts w:ascii="Aptos" w:eastAsia="Aptos" w:hAnsi="Aptos" w:cs="Aptos"/>
          <w:sz w:val="22"/>
          <w:szCs w:val="22"/>
        </w:rPr>
      </w:pPr>
      <w:r w:rsidRPr="03C9B521">
        <w:rPr>
          <w:rFonts w:ascii="Aptos" w:eastAsia="Aptos" w:hAnsi="Aptos" w:cs="Aptos"/>
          <w:sz w:val="22"/>
          <w:szCs w:val="22"/>
        </w:rPr>
        <w:t xml:space="preserve">Il Rapporto, tuttavia, va oltre la fotografia sul livello di applicazione e non applicazione dei CAM, perché analizza più in generale lo stato di diffusione del GPP in Italia e gli altri ostacoli che ne rallentano l’attuazione. Dall’indagine emerge infatti un </w:t>
      </w:r>
      <w:r w:rsidRPr="03C9B521">
        <w:rPr>
          <w:rFonts w:ascii="Aptos" w:eastAsia="Aptos" w:hAnsi="Aptos" w:cs="Aptos"/>
          <w:b/>
          <w:bCs/>
          <w:sz w:val="22"/>
          <w:szCs w:val="22"/>
        </w:rPr>
        <w:t>indice complessivo di performance del GPP pari al 65% per le 122 stazioni appaltanti monitorate</w:t>
      </w:r>
      <w:r w:rsidRPr="03C9B521">
        <w:rPr>
          <w:rFonts w:ascii="Aptos" w:eastAsia="Aptos" w:hAnsi="Aptos" w:cs="Aptos"/>
          <w:sz w:val="22"/>
          <w:szCs w:val="22"/>
        </w:rPr>
        <w:t>, calcolato non solo sulla base dell’applicazione dei CAM, ma anche considerando gli strumenti e le pratiche</w:t>
      </w:r>
      <w:r w:rsidR="1C649F0F" w:rsidRPr="03C9B521">
        <w:rPr>
          <w:rFonts w:ascii="Aptos" w:eastAsia="Aptos" w:hAnsi="Aptos" w:cs="Aptos"/>
          <w:sz w:val="22"/>
          <w:szCs w:val="22"/>
        </w:rPr>
        <w:t xml:space="preserve"> e le politiche</w:t>
      </w:r>
      <w:r w:rsidRPr="03C9B521">
        <w:rPr>
          <w:rFonts w:ascii="Aptos" w:eastAsia="Aptos" w:hAnsi="Aptos" w:cs="Aptos"/>
          <w:sz w:val="22"/>
          <w:szCs w:val="22"/>
        </w:rPr>
        <w:t xml:space="preserve"> che ne favoriscono la diffusione. </w:t>
      </w:r>
      <w:r w:rsidRPr="03C9B521">
        <w:rPr>
          <w:rFonts w:ascii="Aptos" w:eastAsia="Aptos" w:hAnsi="Aptos" w:cs="Aptos"/>
          <w:b/>
          <w:bCs/>
          <w:sz w:val="22"/>
          <w:szCs w:val="22"/>
        </w:rPr>
        <w:t>Tra le maggiori criticità figurano il monitoraggio degli acquisti verdi</w:t>
      </w:r>
      <w:r w:rsidRPr="03C9B521">
        <w:rPr>
          <w:rFonts w:ascii="Aptos" w:eastAsia="Aptos" w:hAnsi="Aptos" w:cs="Aptos"/>
          <w:sz w:val="22"/>
          <w:szCs w:val="22"/>
        </w:rPr>
        <w:t xml:space="preserve">, che registra un tasso di mancata attuazione pari al 78%, e soprattutto </w:t>
      </w:r>
      <w:r w:rsidRPr="03C9B521">
        <w:rPr>
          <w:rFonts w:ascii="Aptos" w:eastAsia="Aptos" w:hAnsi="Aptos" w:cs="Aptos"/>
          <w:b/>
          <w:bCs/>
          <w:sz w:val="22"/>
          <w:szCs w:val="22"/>
        </w:rPr>
        <w:t>l’assenza all’interno delle amministrazioni pubbliche di figure dedicate agli acquisti verdi</w:t>
      </w:r>
      <w:r w:rsidRPr="03C9B521">
        <w:rPr>
          <w:rFonts w:ascii="Aptos" w:eastAsia="Aptos" w:hAnsi="Aptos" w:cs="Aptos"/>
          <w:sz w:val="22"/>
          <w:szCs w:val="22"/>
        </w:rPr>
        <w:t xml:space="preserve">. Solo l’8% del campione analizzato ha infatti istituito un referente GPP e, in particolare, nessuna delle ASL che hanno partecipato all’indagine di Legambiente e Fondazione Ecosistemi dispone di questa figura. </w:t>
      </w:r>
      <w:r w:rsidRPr="03C9B521">
        <w:rPr>
          <w:rFonts w:ascii="Aptos" w:eastAsia="Aptos" w:hAnsi="Aptos" w:cs="Aptos"/>
          <w:b/>
          <w:bCs/>
          <w:sz w:val="22"/>
          <w:szCs w:val="22"/>
        </w:rPr>
        <w:t>A pesare sull’applicazione dei criteri ambientali minimi resta inoltre la carenza di formazione specifica</w:t>
      </w:r>
      <w:r w:rsidRPr="03C9B521">
        <w:rPr>
          <w:rFonts w:ascii="Aptos" w:eastAsia="Aptos" w:hAnsi="Aptos" w:cs="Aptos"/>
          <w:sz w:val="22"/>
          <w:szCs w:val="22"/>
        </w:rPr>
        <w:t xml:space="preserve">: il 52% delle stazioni appaltanti indica infatti la mancanza di competenze adeguate come principale difficoltà, seguita dalla </w:t>
      </w:r>
      <w:r w:rsidRPr="03C9B521">
        <w:rPr>
          <w:rFonts w:ascii="Aptos" w:eastAsia="Aptos" w:hAnsi="Aptos" w:cs="Aptos"/>
          <w:b/>
          <w:bCs/>
          <w:sz w:val="22"/>
          <w:szCs w:val="22"/>
        </w:rPr>
        <w:t>complessità nella stesura dei bandi di gara</w:t>
      </w:r>
      <w:r w:rsidRPr="03C9B521">
        <w:rPr>
          <w:rFonts w:ascii="Aptos" w:eastAsia="Aptos" w:hAnsi="Aptos" w:cs="Aptos"/>
          <w:sz w:val="22"/>
          <w:szCs w:val="22"/>
        </w:rPr>
        <w:t>, segnalata dal 46% del campione esaminato.</w:t>
      </w:r>
    </w:p>
    <w:p w14:paraId="4A2846C9" w14:textId="1CFAE64D" w:rsidR="00A912CE" w:rsidRDefault="42028A5C" w:rsidP="1E277EBE">
      <w:pPr>
        <w:spacing w:after="0" w:line="240" w:lineRule="auto"/>
        <w:jc w:val="both"/>
        <w:rPr>
          <w:rFonts w:ascii="Aptos" w:eastAsia="Aptos" w:hAnsi="Aptos" w:cs="Aptos"/>
          <w:sz w:val="22"/>
          <w:szCs w:val="22"/>
        </w:rPr>
      </w:pPr>
      <w:r w:rsidRPr="03C9B521">
        <w:rPr>
          <w:rFonts w:ascii="Aptos" w:eastAsia="Aptos" w:hAnsi="Aptos" w:cs="Aptos"/>
          <w:sz w:val="22"/>
          <w:szCs w:val="22"/>
        </w:rPr>
        <w:t xml:space="preserve"> </w:t>
      </w:r>
    </w:p>
    <w:p w14:paraId="6135BBE8" w14:textId="4397FE13" w:rsidR="00A912CE" w:rsidRDefault="42028A5C" w:rsidP="1E277EBE">
      <w:pPr>
        <w:spacing w:after="0" w:line="240" w:lineRule="auto"/>
        <w:jc w:val="both"/>
        <w:rPr>
          <w:rFonts w:ascii="Aptos" w:eastAsia="Aptos" w:hAnsi="Aptos" w:cs="Aptos"/>
          <w:sz w:val="22"/>
          <w:szCs w:val="22"/>
        </w:rPr>
      </w:pPr>
      <w:r w:rsidRPr="03C9B521">
        <w:rPr>
          <w:rFonts w:ascii="Aptos" w:eastAsia="Aptos" w:hAnsi="Aptos" w:cs="Aptos"/>
          <w:sz w:val="22"/>
          <w:szCs w:val="22"/>
        </w:rPr>
        <w:lastRenderedPageBreak/>
        <w:t>“</w:t>
      </w:r>
      <w:r w:rsidRPr="03C9B521">
        <w:rPr>
          <w:rFonts w:ascii="Aptos" w:eastAsia="Aptos" w:hAnsi="Aptos" w:cs="Aptos"/>
          <w:i/>
          <w:iCs/>
          <w:sz w:val="22"/>
          <w:szCs w:val="22"/>
        </w:rPr>
        <w:t xml:space="preserve">Con circa 309,7 miliardi di euro di </w:t>
      </w:r>
      <w:r w:rsidR="7DD6F710" w:rsidRPr="03C9B521">
        <w:rPr>
          <w:rFonts w:ascii="Aptos" w:eastAsia="Aptos" w:hAnsi="Aptos" w:cs="Aptos"/>
          <w:i/>
          <w:iCs/>
          <w:sz w:val="22"/>
          <w:szCs w:val="22"/>
        </w:rPr>
        <w:t>spesa</w:t>
      </w:r>
      <w:r w:rsidRPr="03C9B521">
        <w:rPr>
          <w:rFonts w:ascii="Aptos" w:eastAsia="Aptos" w:hAnsi="Aptos" w:cs="Aptos"/>
          <w:i/>
          <w:iCs/>
          <w:sz w:val="22"/>
          <w:szCs w:val="22"/>
        </w:rPr>
        <w:t xml:space="preserve">, la pubblica amministrazione può incidere in modo diretto sulle scelte del mercato, spingendo imprese e fornitori verso modelli produttivi più sostenibili </w:t>
      </w:r>
      <w:r w:rsidRPr="03C9B521">
        <w:rPr>
          <w:rFonts w:ascii="Aptos" w:eastAsia="Aptos" w:hAnsi="Aptos" w:cs="Aptos"/>
          <w:sz w:val="22"/>
          <w:szCs w:val="22"/>
        </w:rPr>
        <w:t xml:space="preserve">- </w:t>
      </w:r>
      <w:r w:rsidRPr="03C9B521">
        <w:rPr>
          <w:rFonts w:ascii="Aptos" w:eastAsia="Aptos" w:hAnsi="Aptos" w:cs="Aptos"/>
          <w:b/>
          <w:bCs/>
          <w:sz w:val="22"/>
          <w:szCs w:val="22"/>
        </w:rPr>
        <w:t>dichiara Enrico Fontana, della Segreteria nazionale di Legambiente</w:t>
      </w:r>
      <w:r w:rsidRPr="03C9B521">
        <w:rPr>
          <w:rFonts w:ascii="Aptos" w:eastAsia="Aptos" w:hAnsi="Aptos" w:cs="Aptos"/>
          <w:sz w:val="22"/>
          <w:szCs w:val="22"/>
        </w:rPr>
        <w:t xml:space="preserve"> -</w:t>
      </w:r>
      <w:r w:rsidRPr="03C9B521">
        <w:rPr>
          <w:rFonts w:ascii="Aptos" w:eastAsia="Aptos" w:hAnsi="Aptos" w:cs="Aptos"/>
          <w:i/>
          <w:iCs/>
          <w:sz w:val="22"/>
          <w:szCs w:val="22"/>
        </w:rPr>
        <w:t xml:space="preserve"> In questo contesto i CAM non rappresentano solo un adempimento normativo ma un fattore di qualità degli appalti, perché rendono le procedure più trasparenti, introducono requisiti verificabili, garantiscono tracciabilità dei materiali e rafforzano i controlli</w:t>
      </w:r>
      <w:r w:rsidR="5F772E0B" w:rsidRPr="03C9B521">
        <w:rPr>
          <w:rFonts w:ascii="Aptos" w:eastAsia="Aptos" w:hAnsi="Aptos" w:cs="Aptos"/>
          <w:i/>
          <w:iCs/>
          <w:sz w:val="22"/>
          <w:szCs w:val="22"/>
        </w:rPr>
        <w:t>, veri antidoti contro i fenomeni d’illegalità</w:t>
      </w:r>
      <w:r w:rsidRPr="03C9B521">
        <w:rPr>
          <w:rFonts w:ascii="Aptos" w:eastAsia="Aptos" w:hAnsi="Aptos" w:cs="Aptos"/>
          <w:i/>
          <w:iCs/>
          <w:sz w:val="22"/>
          <w:szCs w:val="22"/>
        </w:rPr>
        <w:t xml:space="preserve">. Per questo, come </w:t>
      </w:r>
      <w:r w:rsidR="06392A4B" w:rsidRPr="03C9B521">
        <w:rPr>
          <w:rFonts w:ascii="Aptos" w:eastAsia="Aptos" w:hAnsi="Aptos" w:cs="Aptos"/>
          <w:i/>
          <w:iCs/>
          <w:sz w:val="22"/>
          <w:szCs w:val="22"/>
        </w:rPr>
        <w:t xml:space="preserve">Legambiente </w:t>
      </w:r>
      <w:r w:rsidRPr="03C9B521">
        <w:rPr>
          <w:rFonts w:ascii="Aptos" w:eastAsia="Aptos" w:hAnsi="Aptos" w:cs="Aptos"/>
          <w:i/>
          <w:iCs/>
          <w:sz w:val="22"/>
          <w:szCs w:val="22"/>
        </w:rPr>
        <w:t>siamo molto soddisfatti di poter contribuire al rafforzamento della governance del GPP anche grazie al rinnovato protocollo con l’A</w:t>
      </w:r>
      <w:r w:rsidR="62C8E932" w:rsidRPr="03C9B521">
        <w:rPr>
          <w:rFonts w:ascii="Aptos" w:eastAsia="Aptos" w:hAnsi="Aptos" w:cs="Aptos"/>
          <w:i/>
          <w:iCs/>
          <w:sz w:val="22"/>
          <w:szCs w:val="22"/>
        </w:rPr>
        <w:t>nac</w:t>
      </w:r>
      <w:r w:rsidRPr="03C9B521">
        <w:rPr>
          <w:rFonts w:ascii="Aptos" w:eastAsia="Aptos" w:hAnsi="Aptos" w:cs="Aptos"/>
          <w:i/>
          <w:iCs/>
          <w:sz w:val="22"/>
          <w:szCs w:val="22"/>
        </w:rPr>
        <w:t>. È su questo terreno che si colloca il nostro lavoro</w:t>
      </w:r>
      <w:r w:rsidR="41AF1AB0" w:rsidRPr="03C9B521">
        <w:rPr>
          <w:rFonts w:ascii="Aptos" w:eastAsia="Aptos" w:hAnsi="Aptos" w:cs="Aptos"/>
          <w:i/>
          <w:iCs/>
          <w:sz w:val="22"/>
          <w:szCs w:val="22"/>
        </w:rPr>
        <w:t xml:space="preserve">, che vuole essere </w:t>
      </w:r>
      <w:r w:rsidRPr="03C9B521">
        <w:rPr>
          <w:rFonts w:ascii="Aptos" w:eastAsia="Aptos" w:hAnsi="Aptos" w:cs="Aptos"/>
          <w:i/>
          <w:iCs/>
          <w:sz w:val="22"/>
          <w:szCs w:val="22"/>
        </w:rPr>
        <w:t xml:space="preserve">una ‘spinta gentile’ capace di affiancare le amministrazioni nell’attuazione del GPP e dei CAM come leva concreta di innovazione e sviluppo sostenibile. Da qui nascono anche le quattro proposte che presentiamo quest’anno, con obiettivi chiari: rafforzare la formazione, migliorare i controlli e valorizzare pienamente il potenziale del Green Public Procurement </w:t>
      </w:r>
      <w:r w:rsidR="6FFA9339" w:rsidRPr="03C9B521">
        <w:rPr>
          <w:rFonts w:ascii="Aptos" w:eastAsia="Aptos" w:hAnsi="Aptos" w:cs="Aptos"/>
          <w:i/>
          <w:iCs/>
          <w:sz w:val="22"/>
          <w:szCs w:val="22"/>
        </w:rPr>
        <w:t xml:space="preserve">anche </w:t>
      </w:r>
      <w:r w:rsidRPr="03C9B521">
        <w:rPr>
          <w:rFonts w:ascii="Aptos" w:eastAsia="Aptos" w:hAnsi="Aptos" w:cs="Aptos"/>
          <w:i/>
          <w:iCs/>
          <w:sz w:val="22"/>
          <w:szCs w:val="22"/>
        </w:rPr>
        <w:t>come politica industriale, non più solo ambientale</w:t>
      </w:r>
      <w:r w:rsidRPr="03C9B521">
        <w:rPr>
          <w:rFonts w:ascii="Aptos" w:eastAsia="Aptos" w:hAnsi="Aptos" w:cs="Aptos"/>
          <w:sz w:val="22"/>
          <w:szCs w:val="22"/>
        </w:rPr>
        <w:t>”.</w:t>
      </w:r>
    </w:p>
    <w:p w14:paraId="5E387BBD" w14:textId="67A35831" w:rsidR="00A912CE" w:rsidRDefault="4061786B" w:rsidP="1E277EBE">
      <w:pPr>
        <w:spacing w:after="0" w:line="240" w:lineRule="auto"/>
        <w:jc w:val="both"/>
        <w:rPr>
          <w:rFonts w:ascii="Aptos" w:eastAsia="Aptos" w:hAnsi="Aptos" w:cs="Aptos"/>
          <w:sz w:val="22"/>
          <w:szCs w:val="22"/>
        </w:rPr>
      </w:pPr>
      <w:r w:rsidRPr="1E277EBE">
        <w:rPr>
          <w:rFonts w:ascii="Aptos" w:eastAsia="Aptos" w:hAnsi="Aptos" w:cs="Aptos"/>
          <w:sz w:val="22"/>
          <w:szCs w:val="22"/>
        </w:rPr>
        <w:t xml:space="preserve"> </w:t>
      </w:r>
    </w:p>
    <w:p w14:paraId="4A441583" w14:textId="4A5DA378" w:rsidR="00A912CE" w:rsidRDefault="42028A5C" w:rsidP="1E277EBE">
      <w:pPr>
        <w:spacing w:after="0" w:line="240" w:lineRule="auto"/>
        <w:jc w:val="both"/>
        <w:rPr>
          <w:rFonts w:ascii="Aptos" w:eastAsia="Aptos" w:hAnsi="Aptos" w:cs="Aptos"/>
          <w:sz w:val="22"/>
          <w:szCs w:val="22"/>
        </w:rPr>
      </w:pPr>
      <w:r w:rsidRPr="03C9B521">
        <w:rPr>
          <w:rFonts w:ascii="Aptos" w:eastAsia="Aptos" w:hAnsi="Aptos" w:cs="Aptos"/>
          <w:b/>
          <w:bCs/>
          <w:sz w:val="22"/>
          <w:szCs w:val="22"/>
        </w:rPr>
        <w:t>Le proposte</w:t>
      </w:r>
      <w:r w:rsidRPr="03C9B521">
        <w:rPr>
          <w:rFonts w:ascii="Aptos" w:eastAsia="Aptos" w:hAnsi="Aptos" w:cs="Aptos"/>
          <w:sz w:val="22"/>
          <w:szCs w:val="22"/>
        </w:rPr>
        <w:t xml:space="preserve">: 1) </w:t>
      </w:r>
      <w:r w:rsidRPr="03C9B521">
        <w:rPr>
          <w:rFonts w:ascii="Aptos" w:eastAsia="Aptos" w:hAnsi="Aptos" w:cs="Aptos"/>
          <w:b/>
          <w:bCs/>
          <w:sz w:val="22"/>
          <w:szCs w:val="22"/>
        </w:rPr>
        <w:t>Promozione</w:t>
      </w:r>
      <w:r w:rsidRPr="03C9B521">
        <w:rPr>
          <w:rFonts w:ascii="Aptos" w:eastAsia="Aptos" w:hAnsi="Aptos" w:cs="Aptos"/>
          <w:sz w:val="22"/>
          <w:szCs w:val="22"/>
        </w:rPr>
        <w:t xml:space="preserve">, da parte del Ministero dell’Ambiente e della Sicurezza energetica, di programmi di formazione per il personale della PA sulle procedure di attuazione dei CAM, attraverso strumenti e formulari preimpostati basati sulle buone pratiche delle stazioni appaltanti più virtuose; 2) </w:t>
      </w:r>
      <w:r w:rsidRPr="03C9B521">
        <w:rPr>
          <w:rFonts w:ascii="Aptos" w:eastAsia="Aptos" w:hAnsi="Aptos" w:cs="Aptos"/>
          <w:b/>
          <w:bCs/>
          <w:sz w:val="22"/>
          <w:szCs w:val="22"/>
        </w:rPr>
        <w:t>Applicazione</w:t>
      </w:r>
      <w:r w:rsidRPr="03C9B521">
        <w:rPr>
          <w:rFonts w:ascii="Aptos" w:eastAsia="Aptos" w:hAnsi="Aptos" w:cs="Aptos"/>
          <w:sz w:val="22"/>
          <w:szCs w:val="22"/>
        </w:rPr>
        <w:t xml:space="preserve"> di criteri premiali per le stazioni appaltanti che attuano i CAM, affiancata da un controllo strutturato a campione sui bandi emessi, al fine di penalizzare le amministrazioni che derogano ai principi di sostenibilità; 3) </w:t>
      </w:r>
      <w:r w:rsidRPr="03C9B521">
        <w:rPr>
          <w:rFonts w:ascii="Aptos" w:eastAsia="Aptos" w:hAnsi="Aptos" w:cs="Aptos"/>
          <w:b/>
          <w:bCs/>
          <w:sz w:val="22"/>
          <w:szCs w:val="22"/>
        </w:rPr>
        <w:t>Utilizzo</w:t>
      </w:r>
      <w:r w:rsidRPr="03C9B521">
        <w:rPr>
          <w:rFonts w:ascii="Aptos" w:eastAsia="Aptos" w:hAnsi="Aptos" w:cs="Aptos"/>
          <w:sz w:val="22"/>
          <w:szCs w:val="22"/>
        </w:rPr>
        <w:t xml:space="preserve"> del GPP come ulteriore strumento di contrasto al dumping sociale, anche attraverso l’istituzione di agenzie nazionali e regionali preposte a verificare il rispetto dei diritti lungo le catene di fornitura; 4) </w:t>
      </w:r>
      <w:r w:rsidRPr="03C9B521">
        <w:rPr>
          <w:rFonts w:ascii="Aptos" w:eastAsia="Aptos" w:hAnsi="Aptos" w:cs="Aptos"/>
          <w:b/>
          <w:bCs/>
          <w:sz w:val="22"/>
          <w:szCs w:val="22"/>
        </w:rPr>
        <w:t>Integrazione</w:t>
      </w:r>
      <w:r w:rsidRPr="03C9B521">
        <w:rPr>
          <w:rFonts w:ascii="Aptos" w:eastAsia="Aptos" w:hAnsi="Aptos" w:cs="Aptos"/>
          <w:sz w:val="22"/>
          <w:szCs w:val="22"/>
        </w:rPr>
        <w:t xml:space="preserve"> del GPP come leva di politica industriale per agevolare l’affermazione di un Clean Industrial Deal, attento all’applicazione dei criteri ambientali minimi in settori chiave.</w:t>
      </w:r>
    </w:p>
    <w:p w14:paraId="0B77E909" w14:textId="552B20A2" w:rsidR="00A912CE" w:rsidRDefault="4061786B" w:rsidP="1E277EBE">
      <w:pPr>
        <w:spacing w:after="0" w:line="240" w:lineRule="auto"/>
        <w:jc w:val="both"/>
        <w:rPr>
          <w:rFonts w:ascii="Aptos" w:eastAsia="Aptos" w:hAnsi="Aptos" w:cs="Aptos"/>
          <w:sz w:val="22"/>
          <w:szCs w:val="22"/>
        </w:rPr>
      </w:pPr>
      <w:r w:rsidRPr="1E277EBE">
        <w:rPr>
          <w:rFonts w:ascii="Aptos" w:eastAsia="Aptos" w:hAnsi="Aptos" w:cs="Aptos"/>
          <w:sz w:val="22"/>
          <w:szCs w:val="22"/>
        </w:rPr>
        <w:t xml:space="preserve"> </w:t>
      </w:r>
    </w:p>
    <w:p w14:paraId="67F033C7" w14:textId="0A915DAD" w:rsidR="00A912CE" w:rsidRDefault="008D426B" w:rsidP="1E277EBE">
      <w:pPr>
        <w:spacing w:after="0" w:line="240" w:lineRule="auto"/>
        <w:jc w:val="both"/>
        <w:rPr>
          <w:rFonts w:ascii="Aptos" w:eastAsia="Aptos" w:hAnsi="Aptos" w:cs="Aptos"/>
          <w:b/>
          <w:bCs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“</w:t>
      </w:r>
      <w:r w:rsidRPr="008D426B">
        <w:rPr>
          <w:rFonts w:ascii="Aptos" w:eastAsia="Aptos" w:hAnsi="Aptos" w:cs="Aptos"/>
          <w:i/>
          <w:iCs/>
          <w:sz w:val="22"/>
          <w:szCs w:val="22"/>
        </w:rPr>
        <w:t>Per vent’anni il Forum Compraverde ha dimostrato che gli acquisti pubblici non sono una materia tecnica riservata agli addetti ai lavori, ma una delle più grandi leve economiche, industriali e ambientali a disposizione del Paese. Oggi, in una fase segnata da crisi energetiche, tensioni geopolitiche e trasformazioni profonde dei sistemi produttivi, il Green Public Procurement diventa ancora più strategico: significa orientare il mercato, sostenere innovazione e filiere sostenibili, rafforzare l’autonomia energetica e costruire una competitività europea fondata sulla qualità e non sul ribasso. La sostenibilità non è un costo aggiuntivo, ma un criterio attraverso cui ripensare sviluppo, infrastrutture e servizi pubblici. Il Forum Compraverde nasce proprio per mettere in connessione istituzioni, imprese, territori e comunità attorno a questa visione concreta del cambiamento</w:t>
      </w:r>
      <w:r>
        <w:rPr>
          <w:rFonts w:ascii="Aptos" w:eastAsia="Aptos" w:hAnsi="Aptos" w:cs="Aptos"/>
          <w:sz w:val="22"/>
          <w:szCs w:val="22"/>
        </w:rPr>
        <w:t xml:space="preserve">”. Così il direttore di Fondazione Ecosistemi, </w:t>
      </w:r>
      <w:r w:rsidRPr="008D426B">
        <w:rPr>
          <w:rFonts w:ascii="Aptos" w:eastAsia="Aptos" w:hAnsi="Aptos" w:cs="Aptos"/>
          <w:b/>
          <w:bCs/>
          <w:sz w:val="22"/>
          <w:szCs w:val="22"/>
        </w:rPr>
        <w:t>Silvano Falocco</w:t>
      </w:r>
      <w:r>
        <w:rPr>
          <w:rFonts w:ascii="Aptos" w:eastAsia="Aptos" w:hAnsi="Aptos" w:cs="Aptos"/>
          <w:b/>
          <w:bCs/>
          <w:sz w:val="22"/>
          <w:szCs w:val="22"/>
        </w:rPr>
        <w:t>.</w:t>
      </w:r>
    </w:p>
    <w:p w14:paraId="6639B92C" w14:textId="77777777" w:rsidR="001D02C9" w:rsidRDefault="001D02C9" w:rsidP="001D02C9">
      <w:pPr>
        <w:spacing w:after="0" w:line="240" w:lineRule="auto"/>
        <w:jc w:val="both"/>
        <w:rPr>
          <w:rFonts w:ascii="Aptos" w:eastAsia="Aptos" w:hAnsi="Aptos" w:cs="Aptos"/>
          <w:sz w:val="22"/>
          <w:szCs w:val="22"/>
        </w:rPr>
      </w:pPr>
    </w:p>
    <w:p w14:paraId="7EFDA055" w14:textId="09D33CCE" w:rsidR="008D426B" w:rsidRPr="001D02C9" w:rsidRDefault="001D02C9" w:rsidP="1E277EBE">
      <w:pPr>
        <w:spacing w:after="0" w:line="240" w:lineRule="auto"/>
        <w:jc w:val="both"/>
        <w:rPr>
          <w:rFonts w:ascii="Aptos" w:eastAsia="Aptos" w:hAnsi="Aptos" w:cs="Aptos"/>
          <w:sz w:val="22"/>
          <w:szCs w:val="22"/>
        </w:rPr>
      </w:pPr>
      <w:r w:rsidRPr="00CE59B2">
        <w:rPr>
          <w:rFonts w:ascii="Aptos" w:eastAsia="Aptos" w:hAnsi="Aptos" w:cs="Aptos"/>
          <w:sz w:val="22"/>
          <w:szCs w:val="22"/>
        </w:rPr>
        <w:t>In questo quadro si inserisce anche la presentazione del primo Quaderno </w:t>
      </w:r>
      <w:r w:rsidRPr="00CE59B2">
        <w:rPr>
          <w:rFonts w:ascii="Aptos" w:eastAsia="Aptos" w:hAnsi="Aptos" w:cs="Aptos"/>
          <w:i/>
          <w:iCs/>
          <w:sz w:val="22"/>
          <w:szCs w:val="22"/>
        </w:rPr>
        <w:t>Il Green Public Procurement: 20 anni di applicazione e il suo rilancio come strumento di politica industriale</w:t>
      </w:r>
      <w:r w:rsidRPr="00CE59B2">
        <w:rPr>
          <w:rFonts w:ascii="Aptos" w:eastAsia="Aptos" w:hAnsi="Aptos" w:cs="Aptos"/>
          <w:sz w:val="22"/>
          <w:szCs w:val="22"/>
        </w:rPr>
        <w:t>, realizzato dal </w:t>
      </w:r>
      <w:r w:rsidRPr="00CE59B2">
        <w:rPr>
          <w:rFonts w:ascii="Aptos" w:eastAsia="Aptos" w:hAnsi="Aptos" w:cs="Aptos"/>
          <w:b/>
          <w:bCs/>
          <w:sz w:val="22"/>
          <w:szCs w:val="22"/>
        </w:rPr>
        <w:t>Coordinamento Agende 21 Locali Italiane </w:t>
      </w:r>
      <w:r w:rsidRPr="00CE59B2">
        <w:rPr>
          <w:rFonts w:ascii="Aptos" w:eastAsia="Aptos" w:hAnsi="Aptos" w:cs="Aptos"/>
          <w:sz w:val="22"/>
          <w:szCs w:val="22"/>
        </w:rPr>
        <w:t>con il supporto tecnico di Fondazione Ecosistemi. Il documento ricostruisce due decenni di evoluzione del GPP in Italia, analizza opportunità e criticità del sistema dei CAM e rilancia il ruolo strategico degli acquisti pubblici come leva industriale, ambientale e sociale capace di orientare innovazione, competitività e transizione ecologica del Paese.</w:t>
      </w:r>
    </w:p>
    <w:p w14:paraId="60E70769" w14:textId="77777777" w:rsidR="001D02C9" w:rsidRPr="001D02C9" w:rsidRDefault="001D02C9" w:rsidP="1E277EBE">
      <w:pPr>
        <w:spacing w:after="0" w:line="240" w:lineRule="auto"/>
        <w:jc w:val="both"/>
        <w:rPr>
          <w:rFonts w:ascii="Aptos" w:eastAsia="Aptos" w:hAnsi="Aptos" w:cs="Aptos"/>
          <w:sz w:val="22"/>
          <w:szCs w:val="22"/>
        </w:rPr>
      </w:pPr>
    </w:p>
    <w:p w14:paraId="07310EC7" w14:textId="602ADBAB" w:rsidR="00A912CE" w:rsidRDefault="4061786B" w:rsidP="1E277EBE">
      <w:pPr>
        <w:spacing w:after="0" w:line="240" w:lineRule="auto"/>
        <w:jc w:val="both"/>
        <w:rPr>
          <w:rFonts w:ascii="Aptos" w:eastAsia="Aptos" w:hAnsi="Aptos" w:cs="Aptos"/>
          <w:sz w:val="22"/>
          <w:szCs w:val="22"/>
        </w:rPr>
      </w:pPr>
      <w:r w:rsidRPr="1E277EBE">
        <w:rPr>
          <w:rFonts w:ascii="Aptos" w:eastAsia="Aptos" w:hAnsi="Aptos" w:cs="Aptos"/>
          <w:b/>
          <w:bCs/>
          <w:sz w:val="22"/>
          <w:szCs w:val="22"/>
        </w:rPr>
        <w:t>L’analisi di dettaglio conferma il quadro generale</w:t>
      </w:r>
      <w:r w:rsidRPr="1E277EBE">
        <w:rPr>
          <w:rFonts w:ascii="Aptos" w:eastAsia="Aptos" w:hAnsi="Aptos" w:cs="Aptos"/>
          <w:sz w:val="22"/>
          <w:szCs w:val="22"/>
        </w:rPr>
        <w:t xml:space="preserve">. Le </w:t>
      </w:r>
      <w:r w:rsidRPr="1E277EBE">
        <w:rPr>
          <w:rFonts w:ascii="Aptos" w:eastAsia="Aptos" w:hAnsi="Aptos" w:cs="Aptos"/>
          <w:b/>
          <w:bCs/>
          <w:sz w:val="22"/>
          <w:szCs w:val="22"/>
        </w:rPr>
        <w:t>ASL</w:t>
      </w:r>
      <w:r w:rsidRPr="1E277EBE">
        <w:rPr>
          <w:rFonts w:ascii="Aptos" w:eastAsia="Aptos" w:hAnsi="Aptos" w:cs="Aptos"/>
          <w:sz w:val="22"/>
          <w:szCs w:val="22"/>
        </w:rPr>
        <w:t xml:space="preserve"> raggiungono un buon livello di applicazione del Green Public Procurement con un indice di performance che si attesta al 74%. Se da una parte le Aziende sanitarie conoscono pienamente lo strumento del GPP, dall’altra faticano a tradurlo in pratica, perché la formazione resta insufficiente con il 46% del campione che dichiara di non aver promosso attività di questo tipo, il monitoraggio degli acquisti è largamente insufficiente visto che solo il 19% delle Asl lo ha effettuato, e inoltre, persistono problemi nella scrittura dei bandi per il 50% del campione e anche nell’applicazione dei criteri ambientali, soprattutto in alcuni settori come punti ristoro, eventi, calzature  e tessile. </w:t>
      </w:r>
    </w:p>
    <w:p w14:paraId="4626D712" w14:textId="0B441974" w:rsidR="00A912CE" w:rsidRDefault="4061786B" w:rsidP="1E277EBE">
      <w:pPr>
        <w:spacing w:after="0" w:line="240" w:lineRule="auto"/>
        <w:jc w:val="both"/>
        <w:rPr>
          <w:rFonts w:ascii="Aptos" w:eastAsia="Aptos" w:hAnsi="Aptos" w:cs="Aptos"/>
          <w:sz w:val="22"/>
          <w:szCs w:val="22"/>
        </w:rPr>
      </w:pPr>
      <w:r w:rsidRPr="1E277EBE">
        <w:rPr>
          <w:rFonts w:ascii="Aptos" w:eastAsia="Aptos" w:hAnsi="Aptos" w:cs="Aptos"/>
          <w:sz w:val="22"/>
          <w:szCs w:val="22"/>
        </w:rPr>
        <w:lastRenderedPageBreak/>
        <w:t xml:space="preserve">Le </w:t>
      </w:r>
      <w:r w:rsidRPr="1E277EBE">
        <w:rPr>
          <w:rFonts w:ascii="Aptos" w:eastAsia="Aptos" w:hAnsi="Aptos" w:cs="Aptos"/>
          <w:b/>
          <w:bCs/>
          <w:sz w:val="22"/>
          <w:szCs w:val="22"/>
        </w:rPr>
        <w:t>Centrali di Committenza Regionali</w:t>
      </w:r>
      <w:r w:rsidRPr="1E277EBE">
        <w:rPr>
          <w:rFonts w:ascii="Aptos" w:eastAsia="Aptos" w:hAnsi="Aptos" w:cs="Aptos"/>
          <w:sz w:val="22"/>
          <w:szCs w:val="22"/>
        </w:rPr>
        <w:t xml:space="preserve"> raggiungono l’indice di performance più alto tra tutte le stazioni appaltanti indagate con una percentuale dell’83%, grazie soprattutto a una maggiore organizzazione e competenze più solide. Anche in questo ambito, tuttavia, non mancano le difficoltà. Le criticità maggiori si concentrano su alcuni criteri specifici, come i CAM per calzature, verde pubblico e infrastrutture stradali, e sulla complessità nella predisposizione delle gare. A questo proposito, il 54% dei soggetti aggregatori (7 su 13) riscontra problemi nella stesura dei bandi conformi ai CAM, principalmente a causa della carenza di imprese sul mercato in grado di soddisfare tali criteri (38%). Infine, gli </w:t>
      </w:r>
      <w:r w:rsidRPr="1E277EBE">
        <w:rPr>
          <w:rFonts w:ascii="Aptos" w:eastAsia="Aptos" w:hAnsi="Aptos" w:cs="Aptos"/>
          <w:b/>
          <w:bCs/>
          <w:sz w:val="22"/>
          <w:szCs w:val="22"/>
        </w:rPr>
        <w:t>Enti gestori delle Aree Protette</w:t>
      </w:r>
      <w:r w:rsidRPr="1E277EBE">
        <w:rPr>
          <w:rFonts w:ascii="Aptos" w:eastAsia="Aptos" w:hAnsi="Aptos" w:cs="Aptos"/>
          <w:sz w:val="22"/>
          <w:szCs w:val="22"/>
        </w:rPr>
        <w:t>, con un livello medio di applicazione del GPP pari al 59% restano la stazione appaltante più fragile tra quelle indagate: se la conoscenza dello strumento è ormai quasi totale, la formazione coinvolge poco più della metà degli enti (57%), il monitoraggio degli acquisti si ferma al 16% e solo 7 Enti sugli 83 analizzati dispone di un referente dedicato al GPP. Le difficoltà maggiori riguardano proprio la carenza di formazione (48%) e la complessità nell’applicazione dei CAM nei bandi (43%), con criticità ancora evidenti in particolare nei comparti tessile, calzature ed eventi.</w:t>
      </w:r>
    </w:p>
    <w:p w14:paraId="41404A38" w14:textId="385FB3EE" w:rsidR="00A912CE" w:rsidRDefault="0E6549D1" w:rsidP="1E277EBE">
      <w:pPr>
        <w:spacing w:after="0" w:line="240" w:lineRule="auto"/>
        <w:jc w:val="both"/>
        <w:rPr>
          <w:rFonts w:ascii="Aptos" w:eastAsia="Aptos" w:hAnsi="Aptos" w:cs="Aptos"/>
          <w:sz w:val="22"/>
          <w:szCs w:val="22"/>
        </w:rPr>
      </w:pPr>
      <w:r w:rsidRPr="78A27D87">
        <w:rPr>
          <w:rFonts w:ascii="Aptos" w:eastAsia="Aptos" w:hAnsi="Aptos" w:cs="Aptos"/>
          <w:sz w:val="22"/>
          <w:szCs w:val="22"/>
        </w:rPr>
        <w:t xml:space="preserve"> </w:t>
      </w:r>
    </w:p>
    <w:p w14:paraId="2D9F71DB" w14:textId="77EAA4A0" w:rsidR="00A912CE" w:rsidRDefault="4061786B" w:rsidP="1E277EBE">
      <w:pPr>
        <w:spacing w:after="0" w:line="240" w:lineRule="auto"/>
        <w:jc w:val="both"/>
        <w:rPr>
          <w:rFonts w:ascii="Aptos" w:eastAsia="Aptos" w:hAnsi="Aptos" w:cs="Aptos"/>
          <w:b/>
          <w:bCs/>
          <w:sz w:val="22"/>
          <w:szCs w:val="22"/>
        </w:rPr>
      </w:pPr>
      <w:r w:rsidRPr="1E277EBE">
        <w:rPr>
          <w:rFonts w:ascii="Aptos" w:eastAsia="Aptos" w:hAnsi="Aptos" w:cs="Aptos"/>
          <w:b/>
          <w:bCs/>
          <w:sz w:val="22"/>
          <w:szCs w:val="22"/>
        </w:rPr>
        <w:t>Focus: il tasso di applicazione e non applicazione dei CAM</w:t>
      </w:r>
    </w:p>
    <w:p w14:paraId="59DFD225" w14:textId="18F019FA" w:rsidR="00A912CE" w:rsidRDefault="4061786B" w:rsidP="1E277EBE">
      <w:pPr>
        <w:spacing w:after="0" w:line="240" w:lineRule="auto"/>
        <w:jc w:val="both"/>
        <w:rPr>
          <w:rFonts w:ascii="Aptos" w:eastAsia="Aptos" w:hAnsi="Aptos" w:cs="Aptos"/>
          <w:sz w:val="22"/>
          <w:szCs w:val="22"/>
        </w:rPr>
      </w:pPr>
      <w:r w:rsidRPr="1E277EBE">
        <w:rPr>
          <w:rFonts w:ascii="Aptos" w:eastAsia="Aptos" w:hAnsi="Aptos" w:cs="Aptos"/>
          <w:sz w:val="22"/>
          <w:szCs w:val="22"/>
        </w:rPr>
        <w:t>Oltre a quelli già citati, altri criteri ambientali minimi meritano attenzione sul fronte del tasso di non applicazione, a partire dal CAM strade (in vigore dalla fine del 2024) con il 38%. Seguono il CAM punti di ristoro e distributori automatici al 37%, il CAM prodotti tessili non applicato in 15 gare su 32 (pari al 32%), il CAM verde pubblico al 26%, il CAM veicoli al 23%, il CAM forniture di cartucce e toner al 22% e, infine, il CAM forniture arredi per interni al 20%. Di contro, si registrano anche buone notizie: tra i criteri con un'applicazione più forte, che superano l’80% nelle 122 stazioni appaltanti indagate, si distinguono infatti il CAM edilizia con l’84%, il CAM pulizia e sanificazione con l’83% e il CAM forniture dei servizi energetici per gli edifici-contratti EPC con l’81%.</w:t>
      </w:r>
    </w:p>
    <w:p w14:paraId="11C0D2E0" w14:textId="01A9B2B7" w:rsidR="00A912CE" w:rsidRDefault="00A912CE" w:rsidP="1E277EBE">
      <w:pPr>
        <w:spacing w:after="0" w:line="240" w:lineRule="auto"/>
        <w:jc w:val="both"/>
        <w:rPr>
          <w:rFonts w:ascii="Aptos" w:eastAsia="Aptos" w:hAnsi="Aptos" w:cs="Aptos"/>
          <w:sz w:val="22"/>
          <w:szCs w:val="22"/>
        </w:rPr>
      </w:pPr>
    </w:p>
    <w:p w14:paraId="119107D0" w14:textId="3556A662" w:rsidR="00A912CE" w:rsidRDefault="4061786B" w:rsidP="1E277EBE">
      <w:pPr>
        <w:spacing w:after="0" w:line="240" w:lineRule="auto"/>
        <w:jc w:val="center"/>
        <w:rPr>
          <w:rFonts w:ascii="Aptos" w:eastAsia="Aptos" w:hAnsi="Aptos" w:cs="Aptos"/>
          <w:b/>
          <w:bCs/>
          <w:sz w:val="20"/>
          <w:szCs w:val="20"/>
        </w:rPr>
      </w:pPr>
      <w:r w:rsidRPr="1E277EBE">
        <w:rPr>
          <w:rFonts w:ascii="Aptos" w:eastAsia="Aptos" w:hAnsi="Aptos" w:cs="Aptos"/>
          <w:b/>
          <w:bCs/>
          <w:sz w:val="20"/>
          <w:szCs w:val="20"/>
        </w:rPr>
        <w:t>L’ufficio stampa di Legambiente:</w:t>
      </w:r>
    </w:p>
    <w:p w14:paraId="2537F636" w14:textId="558D2123" w:rsidR="00A912CE" w:rsidRDefault="4061786B" w:rsidP="1E277EBE">
      <w:pPr>
        <w:spacing w:after="0" w:line="240" w:lineRule="auto"/>
        <w:jc w:val="center"/>
        <w:rPr>
          <w:rFonts w:ascii="Aptos" w:eastAsia="Aptos" w:hAnsi="Aptos" w:cs="Aptos"/>
          <w:sz w:val="20"/>
          <w:szCs w:val="20"/>
        </w:rPr>
      </w:pPr>
      <w:r w:rsidRPr="1E277EBE">
        <w:rPr>
          <w:rFonts w:ascii="Aptos" w:eastAsia="Aptos" w:hAnsi="Aptos" w:cs="Aptos"/>
          <w:sz w:val="20"/>
          <w:szCs w:val="20"/>
        </w:rPr>
        <w:t>Rita Murgese 375 8573864 | Luisa Calderaro (capo ufficio stampa) 349 6546593</w:t>
      </w:r>
    </w:p>
    <w:p w14:paraId="37933683" w14:textId="607B792F" w:rsidR="00A912CE" w:rsidRDefault="4061786B" w:rsidP="1E277EBE">
      <w:pPr>
        <w:spacing w:after="0" w:line="240" w:lineRule="auto"/>
        <w:jc w:val="center"/>
        <w:rPr>
          <w:rFonts w:ascii="Aptos" w:eastAsia="Aptos" w:hAnsi="Aptos" w:cs="Aptos"/>
          <w:sz w:val="20"/>
          <w:szCs w:val="20"/>
        </w:rPr>
      </w:pPr>
      <w:r w:rsidRPr="1E277EBE">
        <w:rPr>
          <w:rFonts w:ascii="Aptos" w:eastAsia="Aptos" w:hAnsi="Aptos" w:cs="Aptos"/>
          <w:sz w:val="20"/>
          <w:szCs w:val="20"/>
        </w:rPr>
        <w:t xml:space="preserve"> </w:t>
      </w:r>
    </w:p>
    <w:p w14:paraId="0ECA5C7C" w14:textId="5B59857F" w:rsidR="00A912CE" w:rsidRDefault="4061786B" w:rsidP="1E277EBE">
      <w:pPr>
        <w:spacing w:after="0" w:line="240" w:lineRule="auto"/>
        <w:jc w:val="center"/>
        <w:rPr>
          <w:rFonts w:ascii="Aptos" w:eastAsia="Aptos" w:hAnsi="Aptos" w:cs="Aptos"/>
          <w:b/>
          <w:bCs/>
          <w:sz w:val="20"/>
          <w:szCs w:val="20"/>
        </w:rPr>
      </w:pPr>
      <w:r w:rsidRPr="1E277EBE">
        <w:rPr>
          <w:rFonts w:ascii="Aptos" w:eastAsia="Aptos" w:hAnsi="Aptos" w:cs="Aptos"/>
          <w:b/>
          <w:bCs/>
          <w:sz w:val="20"/>
          <w:szCs w:val="20"/>
        </w:rPr>
        <w:t>L'ufficio stampa di Fondazione Ecosistemi:</w:t>
      </w:r>
    </w:p>
    <w:p w14:paraId="0E708DF9" w14:textId="46865BCA" w:rsidR="00A912CE" w:rsidRDefault="0E6549D1" w:rsidP="1E277EBE">
      <w:pPr>
        <w:spacing w:after="0" w:line="240" w:lineRule="auto"/>
        <w:jc w:val="center"/>
      </w:pPr>
      <w:r w:rsidRPr="78A27D87">
        <w:rPr>
          <w:rFonts w:ascii="Aptos" w:eastAsia="Aptos" w:hAnsi="Aptos" w:cs="Aptos"/>
          <w:sz w:val="20"/>
          <w:szCs w:val="20"/>
        </w:rPr>
        <w:t>Stefano Di Traglia 335 1332450 | Denise Faticante 345 0070244</w:t>
      </w:r>
    </w:p>
    <w:p w14:paraId="6F18E22B" w14:textId="71E08102" w:rsidR="78A27D87" w:rsidRDefault="78A27D87" w:rsidP="78A27D87">
      <w:pPr>
        <w:spacing w:after="0" w:line="240" w:lineRule="auto"/>
        <w:jc w:val="center"/>
        <w:rPr>
          <w:rFonts w:ascii="Aptos" w:eastAsia="Aptos" w:hAnsi="Aptos" w:cs="Aptos"/>
          <w:sz w:val="20"/>
          <w:szCs w:val="20"/>
        </w:rPr>
      </w:pPr>
    </w:p>
    <w:p w14:paraId="12E0F6B0" w14:textId="1F965636" w:rsidR="7F9393EC" w:rsidRDefault="7F9393EC" w:rsidP="03C9B521">
      <w:pPr>
        <w:spacing w:after="0" w:line="240" w:lineRule="auto"/>
        <w:jc w:val="center"/>
        <w:rPr>
          <w:rFonts w:ascii="Aptos" w:eastAsia="Aptos" w:hAnsi="Aptos" w:cs="Aptos"/>
          <w:sz w:val="20"/>
          <w:szCs w:val="20"/>
          <w:highlight w:val="yellow"/>
        </w:rPr>
      </w:pPr>
    </w:p>
    <w:p w14:paraId="01E50440" w14:textId="42D1CA6B" w:rsidR="03C9B521" w:rsidRDefault="03C9B521" w:rsidP="03C9B521">
      <w:pPr>
        <w:spacing w:after="0" w:line="240" w:lineRule="auto"/>
        <w:jc w:val="center"/>
        <w:rPr>
          <w:rFonts w:ascii="Aptos" w:eastAsia="Aptos" w:hAnsi="Aptos" w:cs="Aptos"/>
          <w:sz w:val="20"/>
          <w:szCs w:val="20"/>
          <w:highlight w:val="yellow"/>
        </w:rPr>
      </w:pPr>
    </w:p>
    <w:p w14:paraId="246541A3" w14:textId="1ED268C1" w:rsidR="00A912CE" w:rsidRDefault="4061786B" w:rsidP="1E277EBE">
      <w:pPr>
        <w:spacing w:after="0" w:line="240" w:lineRule="auto"/>
        <w:jc w:val="center"/>
        <w:rPr>
          <w:rFonts w:ascii="Aptos" w:eastAsia="Aptos" w:hAnsi="Aptos" w:cs="Aptos"/>
          <w:sz w:val="22"/>
          <w:szCs w:val="22"/>
        </w:rPr>
      </w:pPr>
      <w:r w:rsidRPr="1E277EBE">
        <w:rPr>
          <w:rFonts w:ascii="Aptos" w:eastAsia="Aptos" w:hAnsi="Aptos" w:cs="Aptos"/>
          <w:sz w:val="22"/>
          <w:szCs w:val="22"/>
        </w:rPr>
        <w:t xml:space="preserve"> </w:t>
      </w:r>
    </w:p>
    <w:p w14:paraId="038D09DB" w14:textId="6ED5E38E" w:rsidR="00A912CE" w:rsidRDefault="351A8A6B" w:rsidP="000A0C9A">
      <w:pPr>
        <w:spacing w:after="0" w:line="240" w:lineRule="auto"/>
        <w:jc w:val="center"/>
        <w:rPr>
          <w:rFonts w:ascii="Aptos" w:eastAsia="Aptos" w:hAnsi="Aptos" w:cs="Aptos"/>
          <w:sz w:val="22"/>
          <w:szCs w:val="22"/>
        </w:rPr>
      </w:pPr>
      <w:r w:rsidRPr="03C9B521">
        <w:rPr>
          <w:rFonts w:ascii="Aptos" w:eastAsia="Aptos" w:hAnsi="Aptos" w:cs="Aptos"/>
          <w:b/>
          <w:bCs/>
          <w:sz w:val="22"/>
          <w:szCs w:val="22"/>
        </w:rPr>
        <w:t>IX Rapporto dell’Osservatorio Appalti Verdi di Legambiente e Fondazione Ecosistemi:</w:t>
      </w:r>
    </w:p>
    <w:p w14:paraId="73A4CCF8" w14:textId="04885589" w:rsidR="00A912CE" w:rsidRDefault="00A912CE" w:rsidP="000A0C9A">
      <w:pPr>
        <w:spacing w:after="0" w:line="240" w:lineRule="auto"/>
        <w:jc w:val="center"/>
        <w:rPr>
          <w:rFonts w:ascii="Aptos" w:eastAsia="Aptos" w:hAnsi="Aptos" w:cs="Aptos"/>
          <w:sz w:val="22"/>
          <w:szCs w:val="22"/>
        </w:rPr>
      </w:pPr>
    </w:p>
    <w:p w14:paraId="2DC08235" w14:textId="4225DDDF" w:rsidR="00A912CE" w:rsidRDefault="204DF96B" w:rsidP="1E277EBE">
      <w:pPr>
        <w:spacing w:line="240" w:lineRule="auto"/>
        <w:rPr>
          <w:sz w:val="22"/>
          <w:szCs w:val="22"/>
        </w:rPr>
      </w:pPr>
      <w:r>
        <w:rPr>
          <w:noProof/>
        </w:rPr>
        <w:drawing>
          <wp:inline distT="0" distB="0" distL="0" distR="0" wp14:anchorId="20029859" wp14:editId="627AFFD1">
            <wp:extent cx="5724525" cy="2152650"/>
            <wp:effectExtent l="0" t="0" r="0" b="0"/>
            <wp:docPr id="101296504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965044" name="Picture 101296504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12CE" w:rsidSect="001D02C9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EBDD2F"/>
    <w:rsid w:val="000309DE"/>
    <w:rsid w:val="0007484B"/>
    <w:rsid w:val="000A0C9A"/>
    <w:rsid w:val="001D02C9"/>
    <w:rsid w:val="0030725A"/>
    <w:rsid w:val="004DFB63"/>
    <w:rsid w:val="007869F1"/>
    <w:rsid w:val="00826748"/>
    <w:rsid w:val="008D426B"/>
    <w:rsid w:val="00901EE0"/>
    <w:rsid w:val="00A912CE"/>
    <w:rsid w:val="00CE59B2"/>
    <w:rsid w:val="02832F42"/>
    <w:rsid w:val="037E45D3"/>
    <w:rsid w:val="03C9B521"/>
    <w:rsid w:val="04210E85"/>
    <w:rsid w:val="046000FA"/>
    <w:rsid w:val="04ADF345"/>
    <w:rsid w:val="06392A4B"/>
    <w:rsid w:val="0650D95E"/>
    <w:rsid w:val="06A515DE"/>
    <w:rsid w:val="06BEAA33"/>
    <w:rsid w:val="06DB5B71"/>
    <w:rsid w:val="0829EBA8"/>
    <w:rsid w:val="0A1610BD"/>
    <w:rsid w:val="0B776EFB"/>
    <w:rsid w:val="0E6549D1"/>
    <w:rsid w:val="0F5AA7C4"/>
    <w:rsid w:val="0FE8999F"/>
    <w:rsid w:val="137183CC"/>
    <w:rsid w:val="138A0516"/>
    <w:rsid w:val="15FE6960"/>
    <w:rsid w:val="16D8E4B6"/>
    <w:rsid w:val="16DBAFFA"/>
    <w:rsid w:val="178D0F88"/>
    <w:rsid w:val="1AE31DBC"/>
    <w:rsid w:val="1B10BEF3"/>
    <w:rsid w:val="1BF55E86"/>
    <w:rsid w:val="1C649F0F"/>
    <w:rsid w:val="1D2F1C50"/>
    <w:rsid w:val="1E277EBE"/>
    <w:rsid w:val="1EA71CCC"/>
    <w:rsid w:val="204DF96B"/>
    <w:rsid w:val="21EDCA6F"/>
    <w:rsid w:val="22CDC8A1"/>
    <w:rsid w:val="2681B0FE"/>
    <w:rsid w:val="28338349"/>
    <w:rsid w:val="2910A084"/>
    <w:rsid w:val="2A30647F"/>
    <w:rsid w:val="2B606A1A"/>
    <w:rsid w:val="2D06BCD7"/>
    <w:rsid w:val="3051FCF2"/>
    <w:rsid w:val="30A09E3D"/>
    <w:rsid w:val="30E038CE"/>
    <w:rsid w:val="31523B1E"/>
    <w:rsid w:val="31BDFC78"/>
    <w:rsid w:val="32064D17"/>
    <w:rsid w:val="3225D6D6"/>
    <w:rsid w:val="32462DDC"/>
    <w:rsid w:val="33AC9C25"/>
    <w:rsid w:val="351A8A6B"/>
    <w:rsid w:val="35C9F854"/>
    <w:rsid w:val="3AB06274"/>
    <w:rsid w:val="3E051CC6"/>
    <w:rsid w:val="3F5E059A"/>
    <w:rsid w:val="3FBD7B04"/>
    <w:rsid w:val="4061786B"/>
    <w:rsid w:val="41AF1AB0"/>
    <w:rsid w:val="42028A5C"/>
    <w:rsid w:val="4228A8D1"/>
    <w:rsid w:val="42387BB1"/>
    <w:rsid w:val="424245E5"/>
    <w:rsid w:val="42F3506E"/>
    <w:rsid w:val="44568A44"/>
    <w:rsid w:val="45B90EF9"/>
    <w:rsid w:val="46502A4E"/>
    <w:rsid w:val="46B3F1DD"/>
    <w:rsid w:val="46BC6F7C"/>
    <w:rsid w:val="46C3B20E"/>
    <w:rsid w:val="4DEBDD2F"/>
    <w:rsid w:val="4E8993AB"/>
    <w:rsid w:val="514A1E04"/>
    <w:rsid w:val="51BB14FB"/>
    <w:rsid w:val="5646CD2C"/>
    <w:rsid w:val="56CDD7BA"/>
    <w:rsid w:val="5744C504"/>
    <w:rsid w:val="58627B0C"/>
    <w:rsid w:val="587F63CD"/>
    <w:rsid w:val="58E8D433"/>
    <w:rsid w:val="5B0F3540"/>
    <w:rsid w:val="5B289FBD"/>
    <w:rsid w:val="5B363036"/>
    <w:rsid w:val="5DEF56BA"/>
    <w:rsid w:val="5EBBE711"/>
    <w:rsid w:val="5EF24A18"/>
    <w:rsid w:val="5F772E0B"/>
    <w:rsid w:val="62C8E932"/>
    <w:rsid w:val="63414372"/>
    <w:rsid w:val="63C75D2F"/>
    <w:rsid w:val="659101D7"/>
    <w:rsid w:val="65A58085"/>
    <w:rsid w:val="65B36AC0"/>
    <w:rsid w:val="65F4E969"/>
    <w:rsid w:val="6A07B680"/>
    <w:rsid w:val="6B129A73"/>
    <w:rsid w:val="6BE45643"/>
    <w:rsid w:val="6BEC4508"/>
    <w:rsid w:val="6C287CF6"/>
    <w:rsid w:val="6D0B7CA7"/>
    <w:rsid w:val="6D45DB71"/>
    <w:rsid w:val="6E6DE458"/>
    <w:rsid w:val="6F478DDE"/>
    <w:rsid w:val="6F9AEA30"/>
    <w:rsid w:val="6FEFC521"/>
    <w:rsid w:val="6FFA9339"/>
    <w:rsid w:val="723CCDBC"/>
    <w:rsid w:val="72921181"/>
    <w:rsid w:val="7300D867"/>
    <w:rsid w:val="74510F95"/>
    <w:rsid w:val="75BBD979"/>
    <w:rsid w:val="7770754E"/>
    <w:rsid w:val="7828CC4F"/>
    <w:rsid w:val="78A27D87"/>
    <w:rsid w:val="796CE930"/>
    <w:rsid w:val="7C25D628"/>
    <w:rsid w:val="7CB64CEF"/>
    <w:rsid w:val="7D98BAB9"/>
    <w:rsid w:val="7DD6F710"/>
    <w:rsid w:val="7E5122B1"/>
    <w:rsid w:val="7F9393EC"/>
    <w:rsid w:val="7FE5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32D69"/>
  <w15:chartTrackingRefBased/>
  <w15:docId w15:val="{D360233E-296C-4818-8910-8F5DCD2D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A0C9A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A0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appaltiverdi.net/category/monitoragg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1649</Words>
  <Characters>9404</Characters>
  <Application>Microsoft Office Word</Application>
  <DocSecurity>0</DocSecurity>
  <Lines>78</Lines>
  <Paragraphs>22</Paragraphs>
  <ScaleCrop>false</ScaleCrop>
  <Company/>
  <LinksUpToDate>false</LinksUpToDate>
  <CharactersWithSpaces>11031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Murgese</dc:creator>
  <cp:keywords/>
  <dc:description/>
  <cp:lastModifiedBy>Rita Murgese</cp:lastModifiedBy>
  <cp:revision>6</cp:revision>
  <dcterms:created xsi:type="dcterms:W3CDTF">2026-05-22T09:56:00Z</dcterms:created>
  <dcterms:modified xsi:type="dcterms:W3CDTF">2026-05-27T15:24:00Z</dcterms:modified>
</cp:coreProperties>
</file>